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charts/chart5.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settings.xml" ContentType="application/vnd.openxmlformats-officedocument.wordprocessingml.settings+xml"/>
  <Override PartName="/word/charts/chart2.xml" ContentType="application/vnd.openxmlformats-officedocument.drawingml.chart+xml"/>
  <Default Extension="rels" ContentType="application/vnd.openxmlformats-package.relationships+xml"/>
  <Override PartName="/word/styles.xml" ContentType="application/vnd.openxmlformats-officedocument.wordprocessingml.styles+xml"/>
  <Override PartName="/word/charts/chart4.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46C8" w:rsidRDefault="002146C8" w:rsidP="00B91023">
      <w:pPr>
        <w:spacing w:after="120"/>
        <w:jc w:val="center"/>
        <w:outlineLvl w:val="0"/>
        <w:rPr>
          <w:rFonts w:cstheme="minorHAnsi"/>
          <w:b/>
          <w:smallCaps/>
          <w:sz w:val="52"/>
          <w:szCs w:val="32"/>
        </w:rPr>
      </w:pPr>
    </w:p>
    <w:p w:rsidR="002146C8" w:rsidRDefault="002146C8" w:rsidP="00B91023">
      <w:pPr>
        <w:spacing w:after="120"/>
        <w:jc w:val="center"/>
        <w:outlineLvl w:val="0"/>
        <w:rPr>
          <w:rFonts w:cstheme="minorHAnsi"/>
          <w:b/>
          <w:smallCaps/>
          <w:sz w:val="52"/>
          <w:szCs w:val="32"/>
        </w:rPr>
      </w:pPr>
    </w:p>
    <w:p w:rsidR="002146C8" w:rsidRDefault="00B91023" w:rsidP="00B91023">
      <w:pPr>
        <w:spacing w:after="120"/>
        <w:jc w:val="center"/>
        <w:outlineLvl w:val="0"/>
        <w:rPr>
          <w:rFonts w:cstheme="minorHAnsi"/>
          <w:b/>
          <w:smallCaps/>
          <w:sz w:val="52"/>
          <w:szCs w:val="32"/>
        </w:rPr>
      </w:pPr>
      <w:r w:rsidRPr="002146C8">
        <w:rPr>
          <w:rFonts w:cstheme="minorHAnsi"/>
          <w:b/>
          <w:smallCaps/>
          <w:sz w:val="52"/>
          <w:szCs w:val="32"/>
        </w:rPr>
        <w:t xml:space="preserve">Graduating from GAVI Support: </w:t>
      </w:r>
    </w:p>
    <w:p w:rsidR="00B91023" w:rsidRPr="002146C8" w:rsidRDefault="00B91023" w:rsidP="00B91023">
      <w:pPr>
        <w:spacing w:after="120"/>
        <w:jc w:val="center"/>
        <w:outlineLvl w:val="0"/>
        <w:rPr>
          <w:rFonts w:cstheme="minorHAnsi"/>
          <w:b/>
          <w:smallCaps/>
          <w:sz w:val="52"/>
          <w:szCs w:val="32"/>
        </w:rPr>
      </w:pPr>
    </w:p>
    <w:p w:rsidR="00B91023" w:rsidRPr="002146C8" w:rsidRDefault="00307763" w:rsidP="00B91023">
      <w:pPr>
        <w:spacing w:after="120"/>
        <w:jc w:val="center"/>
        <w:outlineLvl w:val="0"/>
        <w:rPr>
          <w:rFonts w:cstheme="minorHAnsi"/>
          <w:b/>
          <w:smallCaps/>
          <w:sz w:val="52"/>
          <w:szCs w:val="32"/>
        </w:rPr>
      </w:pPr>
      <w:r>
        <w:rPr>
          <w:rFonts w:cstheme="minorHAnsi"/>
          <w:b/>
          <w:smallCaps/>
          <w:sz w:val="52"/>
          <w:szCs w:val="32"/>
        </w:rPr>
        <w:t>Mongolia’</w:t>
      </w:r>
      <w:r w:rsidR="00B91023" w:rsidRPr="002146C8">
        <w:rPr>
          <w:rFonts w:cstheme="minorHAnsi"/>
          <w:b/>
          <w:smallCaps/>
          <w:sz w:val="52"/>
          <w:szCs w:val="32"/>
        </w:rPr>
        <w:t>s Financial Projections and A</w:t>
      </w:r>
      <w:r w:rsidR="002146C8">
        <w:rPr>
          <w:rFonts w:cstheme="minorHAnsi"/>
          <w:b/>
          <w:smallCaps/>
          <w:sz w:val="52"/>
          <w:szCs w:val="32"/>
        </w:rPr>
        <w:t>nalysi</w:t>
      </w:r>
      <w:r w:rsidR="00B91023" w:rsidRPr="002146C8">
        <w:rPr>
          <w:rFonts w:cstheme="minorHAnsi"/>
          <w:b/>
          <w:smallCaps/>
          <w:sz w:val="52"/>
          <w:szCs w:val="32"/>
        </w:rPr>
        <w:t>s</w:t>
      </w:r>
    </w:p>
    <w:p w:rsidR="002146C8" w:rsidRDefault="002146C8" w:rsidP="00A9339D">
      <w:pPr>
        <w:spacing w:after="120"/>
        <w:jc w:val="center"/>
        <w:outlineLvl w:val="0"/>
        <w:rPr>
          <w:rFonts w:cstheme="minorHAnsi"/>
          <w:b/>
          <w:smallCaps/>
          <w:sz w:val="32"/>
          <w:szCs w:val="32"/>
        </w:rPr>
      </w:pPr>
    </w:p>
    <w:p w:rsidR="002146C8" w:rsidRDefault="002146C8" w:rsidP="00A9339D">
      <w:pPr>
        <w:spacing w:after="120"/>
        <w:jc w:val="center"/>
        <w:outlineLvl w:val="0"/>
        <w:rPr>
          <w:rFonts w:cstheme="minorHAnsi"/>
          <w:b/>
          <w:smallCaps/>
          <w:sz w:val="32"/>
          <w:szCs w:val="32"/>
        </w:rPr>
      </w:pPr>
    </w:p>
    <w:p w:rsidR="00B91023" w:rsidRPr="002146C8" w:rsidRDefault="00B91023" w:rsidP="00A9339D">
      <w:pPr>
        <w:spacing w:after="120"/>
        <w:jc w:val="center"/>
        <w:outlineLvl w:val="0"/>
        <w:rPr>
          <w:rFonts w:cstheme="minorHAnsi"/>
          <w:b/>
          <w:smallCaps/>
          <w:sz w:val="32"/>
          <w:szCs w:val="32"/>
        </w:rPr>
      </w:pPr>
    </w:p>
    <w:p w:rsidR="002146C8" w:rsidRDefault="00B91023" w:rsidP="00A9339D">
      <w:pPr>
        <w:spacing w:after="120"/>
        <w:jc w:val="center"/>
        <w:outlineLvl w:val="0"/>
        <w:rPr>
          <w:rFonts w:cstheme="minorHAnsi"/>
          <w:b/>
          <w:smallCaps/>
          <w:sz w:val="40"/>
          <w:szCs w:val="32"/>
        </w:rPr>
      </w:pPr>
      <w:r w:rsidRPr="002146C8">
        <w:rPr>
          <w:rFonts w:cstheme="minorHAnsi"/>
          <w:b/>
          <w:smallCaps/>
          <w:sz w:val="40"/>
          <w:szCs w:val="32"/>
        </w:rPr>
        <w:t>Excerpts the GAVI</w:t>
      </w:r>
      <w:r w:rsidR="00307763">
        <w:rPr>
          <w:rFonts w:cstheme="minorHAnsi"/>
          <w:b/>
          <w:smallCaps/>
          <w:sz w:val="40"/>
          <w:szCs w:val="32"/>
        </w:rPr>
        <w:t xml:space="preserve"> Mongolia</w:t>
      </w:r>
      <w:r w:rsidRPr="002146C8">
        <w:rPr>
          <w:rFonts w:cstheme="minorHAnsi"/>
          <w:b/>
          <w:smallCaps/>
          <w:sz w:val="40"/>
          <w:szCs w:val="32"/>
        </w:rPr>
        <w:t xml:space="preserve"> Country Report</w:t>
      </w:r>
    </w:p>
    <w:p w:rsidR="005643D5" w:rsidRDefault="002146C8" w:rsidP="00307763">
      <w:pPr>
        <w:spacing w:after="120"/>
        <w:jc w:val="both"/>
        <w:rPr>
          <w:rFonts w:cstheme="minorHAnsi"/>
          <w:bCs/>
        </w:rPr>
      </w:pPr>
      <w:r w:rsidRPr="002146C8">
        <w:rPr>
          <w:rFonts w:cstheme="minorHAnsi"/>
          <w:b/>
          <w:smallCaps/>
          <w:sz w:val="24"/>
          <w:szCs w:val="32"/>
        </w:rPr>
        <w:br w:type="page"/>
      </w:r>
      <w:r w:rsidR="00307763" w:rsidRPr="00963A39">
        <w:rPr>
          <w:rFonts w:cstheme="minorHAnsi"/>
          <w:bCs/>
        </w:rPr>
        <w:t xml:space="preserve">Funding for vaccine procurement </w:t>
      </w:r>
      <w:r w:rsidR="00307763">
        <w:rPr>
          <w:rFonts w:cstheme="minorHAnsi"/>
          <w:bCs/>
        </w:rPr>
        <w:t>has been provided, in addition to the government, by UNI</w:t>
      </w:r>
      <w:r w:rsidR="00307763" w:rsidRPr="00963A39">
        <w:rPr>
          <w:rFonts w:cstheme="minorHAnsi"/>
          <w:bCs/>
        </w:rPr>
        <w:t xml:space="preserve">CEF, WHO, JICA, </w:t>
      </w:r>
      <w:r w:rsidR="00307763">
        <w:rPr>
          <w:rFonts w:cstheme="minorHAnsi"/>
          <w:bCs/>
        </w:rPr>
        <w:t xml:space="preserve">and </w:t>
      </w:r>
      <w:r w:rsidR="00307763" w:rsidRPr="00963A39">
        <w:rPr>
          <w:rFonts w:cstheme="minorHAnsi"/>
          <w:bCs/>
        </w:rPr>
        <w:t>GAVI</w:t>
      </w:r>
      <w:r w:rsidR="00307763">
        <w:rPr>
          <w:rFonts w:cstheme="minorHAnsi"/>
          <w:bCs/>
        </w:rPr>
        <w:t xml:space="preserve">.  </w:t>
      </w:r>
      <w:r w:rsidR="00307763" w:rsidRPr="00963A39" w:rsidDel="00CE4300">
        <w:rPr>
          <w:rFonts w:cstheme="minorHAnsi"/>
          <w:bCs/>
        </w:rPr>
        <w:t xml:space="preserve"> </w:t>
      </w:r>
      <w:r w:rsidR="00307763" w:rsidRPr="00963A39">
        <w:rPr>
          <w:rFonts w:cstheme="minorHAnsi"/>
          <w:bCs/>
        </w:rPr>
        <w:t>Since 2011 the government is fully funding vaccines for routine immunization t</w:t>
      </w:r>
      <w:r w:rsidR="00307763">
        <w:rPr>
          <w:rFonts w:cstheme="minorHAnsi"/>
          <w:bCs/>
        </w:rPr>
        <w:t>h</w:t>
      </w:r>
      <w:r w:rsidR="00307763" w:rsidRPr="00963A39">
        <w:rPr>
          <w:rFonts w:cstheme="minorHAnsi"/>
          <w:bCs/>
        </w:rPr>
        <w:t>rough the immunization fund</w:t>
      </w:r>
      <w:r w:rsidR="00307763">
        <w:rPr>
          <w:rFonts w:cstheme="minorHAnsi"/>
          <w:bCs/>
        </w:rPr>
        <w:t>, which was</w:t>
      </w:r>
      <w:r w:rsidR="00307763" w:rsidRPr="00963A39">
        <w:rPr>
          <w:rFonts w:cstheme="minorHAnsi"/>
          <w:bCs/>
        </w:rPr>
        <w:t xml:space="preserve"> established in 2001 in accordance with Government resolution #67. </w:t>
      </w:r>
      <w:r w:rsidR="00307763">
        <w:rPr>
          <w:rFonts w:cstheme="minorHAnsi"/>
          <w:bCs/>
        </w:rPr>
        <w:t xml:space="preserve"> </w:t>
      </w:r>
      <w:r w:rsidR="00307763" w:rsidRPr="00963A39">
        <w:rPr>
          <w:rFonts w:cstheme="minorHAnsi"/>
          <w:bCs/>
        </w:rPr>
        <w:t>Operation</w:t>
      </w:r>
      <w:r w:rsidR="00307763">
        <w:rPr>
          <w:rFonts w:cstheme="minorHAnsi"/>
          <w:bCs/>
        </w:rPr>
        <w:t>al</w:t>
      </w:r>
      <w:r w:rsidR="00307763" w:rsidRPr="00963A39">
        <w:rPr>
          <w:rFonts w:cstheme="minorHAnsi"/>
          <w:bCs/>
        </w:rPr>
        <w:t xml:space="preserve"> costs are </w:t>
      </w:r>
      <w:r w:rsidR="00307763">
        <w:rPr>
          <w:rFonts w:cstheme="minorHAnsi"/>
          <w:bCs/>
        </w:rPr>
        <w:t xml:space="preserve">largely </w:t>
      </w:r>
      <w:r w:rsidR="00307763" w:rsidRPr="00963A39">
        <w:rPr>
          <w:rFonts w:cstheme="minorHAnsi"/>
          <w:bCs/>
        </w:rPr>
        <w:t xml:space="preserve">covered by the Government of Mongolia (central and provincial level) </w:t>
      </w:r>
      <w:r w:rsidR="00307763">
        <w:rPr>
          <w:rFonts w:cstheme="minorHAnsi"/>
          <w:bCs/>
        </w:rPr>
        <w:t xml:space="preserve">but </w:t>
      </w:r>
      <w:proofErr w:type="gramStart"/>
      <w:r w:rsidR="00307763" w:rsidRPr="00963A39">
        <w:rPr>
          <w:rFonts w:cstheme="minorHAnsi"/>
          <w:bCs/>
        </w:rPr>
        <w:t>WHO</w:t>
      </w:r>
      <w:proofErr w:type="gramEnd"/>
      <w:r w:rsidR="00307763" w:rsidRPr="00963A39">
        <w:rPr>
          <w:rFonts w:cstheme="minorHAnsi"/>
          <w:bCs/>
        </w:rPr>
        <w:t xml:space="preserve"> and UNICEF continue </w:t>
      </w:r>
      <w:r w:rsidR="00307763">
        <w:rPr>
          <w:rFonts w:cstheme="minorHAnsi"/>
          <w:bCs/>
        </w:rPr>
        <w:t xml:space="preserve">to </w:t>
      </w:r>
      <w:r w:rsidR="00307763" w:rsidRPr="00963A39">
        <w:rPr>
          <w:rFonts w:cstheme="minorHAnsi"/>
          <w:bCs/>
        </w:rPr>
        <w:t xml:space="preserve">support some recurrent expenditures such as training, advocacy and monitoring. </w:t>
      </w:r>
    </w:p>
    <w:p w:rsidR="00307763" w:rsidRPr="00963A39" w:rsidRDefault="00307763" w:rsidP="00307763">
      <w:pPr>
        <w:spacing w:after="120"/>
        <w:jc w:val="both"/>
        <w:rPr>
          <w:rFonts w:cstheme="minorHAnsi"/>
          <w:bCs/>
        </w:rPr>
      </w:pPr>
    </w:p>
    <w:p w:rsidR="00307763" w:rsidRPr="00AF459E" w:rsidRDefault="00307763" w:rsidP="00307763">
      <w:pPr>
        <w:pStyle w:val="ListParagraph"/>
        <w:numPr>
          <w:ilvl w:val="0"/>
          <w:numId w:val="11"/>
        </w:numPr>
        <w:rPr>
          <w:rFonts w:cstheme="minorHAnsi"/>
          <w:b/>
        </w:rPr>
      </w:pPr>
      <w:r w:rsidRPr="00AF459E">
        <w:rPr>
          <w:rFonts w:cstheme="minorHAnsi"/>
          <w:b/>
        </w:rPr>
        <w:t>Financing of Service Delivery</w:t>
      </w:r>
    </w:p>
    <w:p w:rsidR="00307763" w:rsidRPr="00963A39" w:rsidRDefault="00307763" w:rsidP="00307763">
      <w:pPr>
        <w:jc w:val="both"/>
        <w:rPr>
          <w:rFonts w:cstheme="minorHAnsi"/>
        </w:rPr>
      </w:pPr>
      <w:r w:rsidRPr="00963A39">
        <w:rPr>
          <w:rFonts w:cstheme="minorHAnsi"/>
        </w:rPr>
        <w:t xml:space="preserve">Family clinics and district hospitals are the main providers of immunization.  </w:t>
      </w:r>
      <w:proofErr w:type="gramStart"/>
      <w:r w:rsidRPr="00963A39">
        <w:rPr>
          <w:rFonts w:cstheme="minorHAnsi"/>
        </w:rPr>
        <w:t>Service delivery (human resources, local transport, per diems, and other expenditures) is funded by local governments, from block transfers from the central government</w:t>
      </w:r>
      <w:proofErr w:type="gramEnd"/>
      <w:r w:rsidRPr="00963A39">
        <w:rPr>
          <w:rFonts w:cstheme="minorHAnsi"/>
        </w:rPr>
        <w:t xml:space="preserve">.  While no solid information is available on the unit costs of delivering vaccines, given Mongolia’s geography, climate, and significant nomadic population, there is likely to be large geographic variation in costs.   Nonetheless, coverage rates are reported to be quite high.  It would be useful to have better information on what financing constraints might exist in service delivery in different parts of the country in order to evaluate how </w:t>
      </w:r>
      <w:r>
        <w:rPr>
          <w:rFonts w:cstheme="minorHAnsi"/>
        </w:rPr>
        <w:t xml:space="preserve">adequately </w:t>
      </w:r>
      <w:r w:rsidRPr="00963A39">
        <w:rPr>
          <w:rFonts w:cstheme="minorHAnsi"/>
        </w:rPr>
        <w:t>service delivery is financed, especially for areas with higher unit costs because of more remote populations.</w:t>
      </w:r>
    </w:p>
    <w:p w:rsidR="00307763" w:rsidRPr="00AF459E" w:rsidRDefault="00307763" w:rsidP="00307763">
      <w:pPr>
        <w:pStyle w:val="ListParagraph"/>
        <w:numPr>
          <w:ilvl w:val="0"/>
          <w:numId w:val="11"/>
        </w:numPr>
        <w:rPr>
          <w:rFonts w:cstheme="minorHAnsi"/>
          <w:b/>
        </w:rPr>
      </w:pPr>
      <w:r w:rsidRPr="00AF459E">
        <w:rPr>
          <w:rFonts w:cstheme="minorHAnsi"/>
          <w:b/>
        </w:rPr>
        <w:t xml:space="preserve">Financing of cold chain </w:t>
      </w:r>
    </w:p>
    <w:p w:rsidR="00307763" w:rsidRPr="00963A39" w:rsidRDefault="00307763" w:rsidP="00307763">
      <w:pPr>
        <w:jc w:val="both"/>
        <w:rPr>
          <w:rFonts w:cstheme="minorHAnsi"/>
        </w:rPr>
      </w:pPr>
      <w:r w:rsidRPr="00963A39">
        <w:rPr>
          <w:rFonts w:cstheme="minorHAnsi"/>
        </w:rPr>
        <w:t xml:space="preserve">Over recent years, the government of Mongolia has received considerable support from JICA for cold chain expansion and upgrade.  In 2012, the Millennium Challenge Account also financed some cold chain investment.  Cold chain capacity is seen as sufficient for Hepatitis A introduction but will need expansion if pneumococcal and/or HPV vaccines are introduced nationwide, unless other changes are made in the system (such as in changes in presentations of existing vaccines (to multi-dose) or in delivery schedules).  The government expects to assume responsibility for cold chain investments and maintenance over the near term as JICA’s contributions end.  </w:t>
      </w:r>
    </w:p>
    <w:p w:rsidR="00307763" w:rsidRPr="00AF459E" w:rsidRDefault="00307763" w:rsidP="00307763">
      <w:pPr>
        <w:pStyle w:val="ListParagraph"/>
        <w:numPr>
          <w:ilvl w:val="0"/>
          <w:numId w:val="11"/>
        </w:numPr>
        <w:rPr>
          <w:rFonts w:cstheme="minorHAnsi"/>
          <w:b/>
        </w:rPr>
      </w:pPr>
      <w:r w:rsidRPr="00AF459E">
        <w:rPr>
          <w:rFonts w:cstheme="minorHAnsi"/>
          <w:b/>
        </w:rPr>
        <w:t>Financing of vaccines and injection supplies</w:t>
      </w:r>
    </w:p>
    <w:p w:rsidR="00307763" w:rsidRPr="00963A39" w:rsidRDefault="00307763" w:rsidP="00307763">
      <w:pPr>
        <w:contextualSpacing/>
        <w:jc w:val="both"/>
        <w:rPr>
          <w:rFonts w:cstheme="minorHAnsi"/>
        </w:rPr>
      </w:pPr>
      <w:r w:rsidRPr="00963A39">
        <w:rPr>
          <w:rFonts w:cstheme="minorHAnsi"/>
        </w:rPr>
        <w:t xml:space="preserve">The government funds vaccines and supplies through its Immunization Fund.  The Fund has the advantages of more flexibility than a typical budget line item.  For example, it can receive resources from multiple sources:  government, external donors and the private sector.  The Fund also receives payments for voluntary vaccination fees (for example, from travellers who are going abroad and require vaccines not needed in Mongolia such as Yellow Fever).   </w:t>
      </w:r>
    </w:p>
    <w:p w:rsidR="00307763" w:rsidRPr="00963A39" w:rsidRDefault="00307763" w:rsidP="00307763">
      <w:pPr>
        <w:contextualSpacing/>
        <w:jc w:val="both"/>
        <w:rPr>
          <w:rFonts w:cstheme="minorHAnsi"/>
        </w:rPr>
      </w:pPr>
    </w:p>
    <w:p w:rsidR="00307763" w:rsidRPr="00963A39" w:rsidRDefault="00307763" w:rsidP="00307763">
      <w:pPr>
        <w:contextualSpacing/>
        <w:jc w:val="both"/>
        <w:rPr>
          <w:rFonts w:cstheme="minorHAnsi"/>
        </w:rPr>
      </w:pPr>
      <w:r w:rsidRPr="00963A39">
        <w:rPr>
          <w:rFonts w:cstheme="minorHAnsi"/>
        </w:rPr>
        <w:t xml:space="preserve">There are two categories of vaccines in Mongolia.  Routine vaccines are mandatory, provided free of charge, and are in the national immunization schedule.  There are six such vaccines at present (DPT, DT, HepB, MMR, and Pentavalent).  </w:t>
      </w:r>
      <w:proofErr w:type="gramStart"/>
      <w:r w:rsidRPr="00963A39">
        <w:rPr>
          <w:rFonts w:cstheme="minorHAnsi"/>
        </w:rPr>
        <w:t xml:space="preserve">All are procured by </w:t>
      </w:r>
      <w:r>
        <w:rPr>
          <w:rFonts w:cstheme="minorHAnsi"/>
        </w:rPr>
        <w:t xml:space="preserve">the </w:t>
      </w:r>
      <w:r w:rsidRPr="00963A39">
        <w:rPr>
          <w:rFonts w:cstheme="minorHAnsi"/>
        </w:rPr>
        <w:t>UNICEF Supply Division</w:t>
      </w:r>
      <w:proofErr w:type="gramEnd"/>
      <w:r w:rsidRPr="00963A39">
        <w:rPr>
          <w:rFonts w:cstheme="minorHAnsi"/>
        </w:rPr>
        <w:t>.  The second category</w:t>
      </w:r>
      <w:r>
        <w:rPr>
          <w:rFonts w:cstheme="minorHAnsi"/>
        </w:rPr>
        <w:t>, non-routine vaccines,</w:t>
      </w:r>
      <w:r w:rsidRPr="00963A39">
        <w:rPr>
          <w:rFonts w:cstheme="minorHAnsi"/>
        </w:rPr>
        <w:t xml:space="preserve"> consists of vaccines with epidemiological indications and for the state stockpile.  They include vaccines such as Hepatitis A and </w:t>
      </w:r>
      <w:r>
        <w:rPr>
          <w:rFonts w:cstheme="minorHAnsi"/>
        </w:rPr>
        <w:t>R</w:t>
      </w:r>
      <w:r w:rsidRPr="00963A39">
        <w:rPr>
          <w:rFonts w:cstheme="minorHAnsi"/>
        </w:rPr>
        <w:t xml:space="preserve">abies (both epidemiologically indicated), Yellow Fever and </w:t>
      </w:r>
      <w:r>
        <w:rPr>
          <w:rFonts w:cstheme="minorHAnsi"/>
        </w:rPr>
        <w:t>T</w:t>
      </w:r>
      <w:r w:rsidRPr="00963A39">
        <w:rPr>
          <w:rFonts w:cstheme="minorHAnsi"/>
        </w:rPr>
        <w:t>yphoid (for travellers) and Anthrax (for national security).  In 2011, the total budget for the Fund was US$3.15 million, with approximately 46% directed at routine vaccines, 51% for vaccines with epidemiological indicators and for the state stockpile, 2% for injection supplies, and 1% for transportation from Ulaan</w:t>
      </w:r>
      <w:r>
        <w:rPr>
          <w:rFonts w:cstheme="minorHAnsi"/>
        </w:rPr>
        <w:t xml:space="preserve"> B</w:t>
      </w:r>
      <w:r w:rsidRPr="00963A39">
        <w:rPr>
          <w:rFonts w:cstheme="minorHAnsi"/>
        </w:rPr>
        <w:t>aatar to the provinces.</w:t>
      </w:r>
      <w:r w:rsidRPr="00963A39">
        <w:rPr>
          <w:rStyle w:val="FootnoteReference"/>
        </w:rPr>
        <w:footnoteReference w:id="2"/>
      </w:r>
      <w:r w:rsidRPr="00963A39">
        <w:rPr>
          <w:rFonts w:cstheme="minorHAnsi"/>
        </w:rPr>
        <w:t xml:space="preserve">   One vaccine, Hepatitis A, absorbed almost one-third of the total Immunization Fund budget in 2011 (Table 1).  </w:t>
      </w:r>
      <w:r>
        <w:rPr>
          <w:rFonts w:cstheme="minorHAnsi"/>
        </w:rPr>
        <w:t>As mentioned earlier, t</w:t>
      </w:r>
      <w:r w:rsidRPr="00963A39">
        <w:rPr>
          <w:rFonts w:cstheme="minorHAnsi"/>
        </w:rPr>
        <w:t xml:space="preserve">his vaccine is </w:t>
      </w:r>
      <w:r>
        <w:rPr>
          <w:rFonts w:cstheme="minorHAnsi"/>
        </w:rPr>
        <w:t xml:space="preserve">being introduced on a pilot basis; the </w:t>
      </w:r>
      <w:r w:rsidRPr="00963A39">
        <w:rPr>
          <w:rFonts w:cstheme="minorHAnsi"/>
        </w:rPr>
        <w:t>official immunization schedule</w:t>
      </w:r>
      <w:r>
        <w:rPr>
          <w:rFonts w:cstheme="minorHAnsi"/>
        </w:rPr>
        <w:t xml:space="preserve"> has not yet been amended to include it</w:t>
      </w:r>
      <w:r w:rsidRPr="00963A39">
        <w:rPr>
          <w:rFonts w:cstheme="minorHAnsi"/>
        </w:rPr>
        <w:t>.  It was introduced following an outbreak of Hepatitis A in western Mongolia</w:t>
      </w:r>
      <w:r>
        <w:rPr>
          <w:rFonts w:cstheme="minorHAnsi"/>
        </w:rPr>
        <w:t>.</w:t>
      </w:r>
    </w:p>
    <w:p w:rsidR="00307763" w:rsidRPr="00963A39" w:rsidRDefault="00307763" w:rsidP="00307763">
      <w:pPr>
        <w:contextualSpacing/>
        <w:jc w:val="both"/>
        <w:rPr>
          <w:rFonts w:cstheme="minorHAnsi"/>
        </w:rPr>
      </w:pPr>
    </w:p>
    <w:p w:rsidR="00307763" w:rsidRPr="00963A39" w:rsidRDefault="00307763" w:rsidP="00307763">
      <w:pPr>
        <w:contextualSpacing/>
        <w:jc w:val="both"/>
        <w:rPr>
          <w:rFonts w:cstheme="minorHAnsi"/>
        </w:rPr>
      </w:pPr>
      <w:r w:rsidRPr="00963A39">
        <w:rPr>
          <w:rFonts w:cstheme="minorHAnsi"/>
        </w:rPr>
        <w:t xml:space="preserve">Figures provided by the government show that Immunization Fund expenditures for vaccines (the bulk of the Fund) grew from US$1.2m in 2008 to </w:t>
      </w:r>
      <w:r>
        <w:rPr>
          <w:rFonts w:cstheme="minorHAnsi"/>
        </w:rPr>
        <w:t>US</w:t>
      </w:r>
      <w:r w:rsidRPr="00963A39">
        <w:rPr>
          <w:rFonts w:cstheme="minorHAnsi"/>
        </w:rPr>
        <w:t xml:space="preserve">$1.5m in 2009, </w:t>
      </w:r>
      <w:r>
        <w:rPr>
          <w:rFonts w:cstheme="minorHAnsi"/>
        </w:rPr>
        <w:t>US</w:t>
      </w:r>
      <w:r w:rsidRPr="00963A39">
        <w:rPr>
          <w:rFonts w:cstheme="minorHAnsi"/>
        </w:rPr>
        <w:t xml:space="preserve">$1.8m in 2010, and </w:t>
      </w:r>
      <w:r>
        <w:rPr>
          <w:rFonts w:cstheme="minorHAnsi"/>
        </w:rPr>
        <w:t>US</w:t>
      </w:r>
      <w:r w:rsidRPr="00963A39">
        <w:rPr>
          <w:rFonts w:cstheme="minorHAnsi"/>
        </w:rPr>
        <w:t xml:space="preserve">$3.9m in 2011.  </w:t>
      </w:r>
      <w:proofErr w:type="gramStart"/>
      <w:r w:rsidRPr="00963A39">
        <w:rPr>
          <w:rFonts w:cstheme="minorHAnsi"/>
        </w:rPr>
        <w:t>Non</w:t>
      </w:r>
      <w:r>
        <w:rPr>
          <w:rFonts w:cstheme="minorHAnsi"/>
        </w:rPr>
        <w:t xml:space="preserve"> </w:t>
      </w:r>
      <w:r w:rsidRPr="00963A39">
        <w:rPr>
          <w:rFonts w:cstheme="minorHAnsi"/>
        </w:rPr>
        <w:t>routine</w:t>
      </w:r>
      <w:proofErr w:type="gramEnd"/>
      <w:r w:rsidRPr="00963A39">
        <w:rPr>
          <w:rFonts w:cstheme="minorHAnsi"/>
        </w:rPr>
        <w:t xml:space="preserve"> vaccines accounted for the largest share of the large increase between 2010 and 2011.  They grew from </w:t>
      </w:r>
      <w:r>
        <w:rPr>
          <w:rFonts w:cstheme="minorHAnsi"/>
        </w:rPr>
        <w:t>US</w:t>
      </w:r>
      <w:r w:rsidRPr="00963A39">
        <w:rPr>
          <w:rFonts w:cstheme="minorHAnsi"/>
        </w:rPr>
        <w:t xml:space="preserve">$0.3m in 2010 to </w:t>
      </w:r>
      <w:r>
        <w:rPr>
          <w:rFonts w:cstheme="minorHAnsi"/>
        </w:rPr>
        <w:t>US</w:t>
      </w:r>
      <w:r w:rsidRPr="00963A39">
        <w:rPr>
          <w:rFonts w:cstheme="minorHAnsi"/>
        </w:rPr>
        <w:t>$1.7m in 2011, with the main cost driver being the inclusion of Hepatitis A vaccine.</w:t>
      </w:r>
    </w:p>
    <w:p w:rsidR="00307763" w:rsidRPr="00963A39" w:rsidRDefault="00307763" w:rsidP="00307763">
      <w:pPr>
        <w:contextualSpacing/>
        <w:jc w:val="both"/>
        <w:rPr>
          <w:rFonts w:cstheme="minorHAnsi"/>
        </w:rPr>
      </w:pPr>
    </w:p>
    <w:p w:rsidR="00307763" w:rsidRPr="00963A39" w:rsidRDefault="00307763" w:rsidP="00307763">
      <w:pPr>
        <w:contextualSpacing/>
        <w:jc w:val="both"/>
        <w:rPr>
          <w:rFonts w:cstheme="minorHAnsi"/>
        </w:rPr>
      </w:pPr>
      <w:r w:rsidRPr="00963A39">
        <w:rPr>
          <w:rFonts w:cstheme="minorHAnsi"/>
        </w:rPr>
        <w:t>Domestic tenders are carried out for all non-routine vaccines financed by the Immunization Fund.  All vaccines are subject to VAT and custom taxes that total 15%.  In contrast to some other countries, taxes are adequately budgeted and customs clearing is rapid so that these taxes do not result in a bottleneck.</w:t>
      </w:r>
    </w:p>
    <w:p w:rsidR="00307763" w:rsidRDefault="00307763" w:rsidP="00307763">
      <w:pPr>
        <w:spacing w:line="240" w:lineRule="auto"/>
        <w:jc w:val="both"/>
        <w:rPr>
          <w:rFonts w:cstheme="minorHAnsi"/>
        </w:rPr>
      </w:pPr>
    </w:p>
    <w:p w:rsidR="00307763" w:rsidRPr="00AF459E" w:rsidRDefault="00307763" w:rsidP="00307763">
      <w:pPr>
        <w:spacing w:line="240" w:lineRule="auto"/>
        <w:jc w:val="both"/>
        <w:rPr>
          <w:rFonts w:cstheme="minorHAnsi"/>
          <w:b/>
        </w:rPr>
      </w:pPr>
      <w:r w:rsidRPr="00AF459E">
        <w:rPr>
          <w:rFonts w:cstheme="minorHAnsi"/>
          <w:b/>
        </w:rPr>
        <w:t>Table 1: Immunization Fund Expenditure for 2011 in US$</w:t>
      </w:r>
    </w:p>
    <w:tbl>
      <w:tblPr>
        <w:tblStyle w:val="TableGrid"/>
        <w:tblW w:w="9576" w:type="dxa"/>
        <w:tblLook w:val="04A0"/>
      </w:tblPr>
      <w:tblGrid>
        <w:gridCol w:w="7038"/>
        <w:gridCol w:w="1530"/>
        <w:gridCol w:w="1008"/>
      </w:tblGrid>
      <w:tr w:rsidR="00307763" w:rsidRPr="00963A39">
        <w:trPr>
          <w:trHeight w:val="300"/>
        </w:trPr>
        <w:tc>
          <w:tcPr>
            <w:tcW w:w="7038" w:type="dxa"/>
            <w:shd w:val="clear" w:color="auto" w:fill="95B3D7" w:themeFill="accent1" w:themeFillTint="99"/>
            <w:noWrap/>
          </w:tcPr>
          <w:p w:rsidR="00307763" w:rsidRPr="00963A39" w:rsidRDefault="00307763" w:rsidP="00307763">
            <w:pPr>
              <w:jc w:val="both"/>
              <w:rPr>
                <w:rFonts w:eastAsia="Times New Roman" w:cstheme="minorHAnsi"/>
                <w:b/>
                <w:bCs/>
                <w:color w:val="000000"/>
              </w:rPr>
            </w:pPr>
            <w:r w:rsidRPr="00963A39">
              <w:rPr>
                <w:rFonts w:eastAsia="Times New Roman" w:cstheme="minorHAnsi"/>
                <w:b/>
                <w:bCs/>
                <w:color w:val="000000"/>
              </w:rPr>
              <w:t>Total</w:t>
            </w:r>
          </w:p>
        </w:tc>
        <w:tc>
          <w:tcPr>
            <w:tcW w:w="1530" w:type="dxa"/>
            <w:shd w:val="clear" w:color="auto" w:fill="95B3D7" w:themeFill="accent1" w:themeFillTint="99"/>
            <w:noWrap/>
          </w:tcPr>
          <w:p w:rsidR="00307763" w:rsidRPr="00963A39" w:rsidRDefault="00307763" w:rsidP="00307763">
            <w:pPr>
              <w:jc w:val="both"/>
              <w:rPr>
                <w:rFonts w:eastAsia="Times New Roman" w:cstheme="minorHAnsi"/>
                <w:b/>
                <w:bCs/>
                <w:color w:val="000000"/>
              </w:rPr>
            </w:pPr>
            <w:r w:rsidRPr="00963A39">
              <w:rPr>
                <w:rFonts w:eastAsia="Times New Roman" w:cstheme="minorHAnsi"/>
                <w:b/>
                <w:bCs/>
                <w:color w:val="000000"/>
              </w:rPr>
              <w:t>$</w:t>
            </w:r>
            <w:r w:rsidRPr="00963A39">
              <w:rPr>
                <w:rFonts w:cstheme="minorHAnsi"/>
                <w:b/>
                <w:bCs/>
                <w:color w:val="000000"/>
              </w:rPr>
              <w:t>3,152,903</w:t>
            </w:r>
          </w:p>
        </w:tc>
        <w:tc>
          <w:tcPr>
            <w:tcW w:w="1008" w:type="dxa"/>
            <w:shd w:val="clear" w:color="auto" w:fill="95B3D7" w:themeFill="accent1" w:themeFillTint="99"/>
            <w:noWrap/>
          </w:tcPr>
          <w:p w:rsidR="00307763" w:rsidRPr="00963A39" w:rsidRDefault="00307763" w:rsidP="00307763">
            <w:pPr>
              <w:jc w:val="both"/>
              <w:rPr>
                <w:rFonts w:eastAsia="Times New Roman" w:cstheme="minorHAnsi"/>
                <w:b/>
                <w:bCs/>
                <w:color w:val="000000"/>
              </w:rPr>
            </w:pPr>
            <w:r w:rsidRPr="00963A39">
              <w:rPr>
                <w:rFonts w:eastAsia="Times New Roman" w:cstheme="minorHAnsi"/>
                <w:b/>
                <w:bCs/>
                <w:color w:val="000000"/>
              </w:rPr>
              <w:t>100%</w:t>
            </w:r>
          </w:p>
        </w:tc>
      </w:tr>
      <w:tr w:rsidR="00307763" w:rsidRPr="00963A39">
        <w:trPr>
          <w:trHeight w:val="311"/>
        </w:trPr>
        <w:tc>
          <w:tcPr>
            <w:tcW w:w="7038"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Routine vaccines</w:t>
            </w:r>
          </w:p>
        </w:tc>
        <w:tc>
          <w:tcPr>
            <w:tcW w:w="1530" w:type="dxa"/>
            <w:noWrap/>
          </w:tcPr>
          <w:p w:rsidR="00307763" w:rsidRPr="00963A39" w:rsidRDefault="00307763" w:rsidP="00307763">
            <w:pPr>
              <w:jc w:val="both"/>
              <w:rPr>
                <w:rFonts w:eastAsia="Times New Roman" w:cstheme="minorHAnsi"/>
                <w:color w:val="000000"/>
              </w:rPr>
            </w:pPr>
            <w:r w:rsidRPr="00963A39">
              <w:rPr>
                <w:rFonts w:cstheme="minorHAnsi"/>
                <w:color w:val="000000"/>
              </w:rPr>
              <w:t>$1,445,600</w:t>
            </w:r>
          </w:p>
        </w:tc>
        <w:tc>
          <w:tcPr>
            <w:tcW w:w="1008"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46%</w:t>
            </w:r>
          </w:p>
        </w:tc>
      </w:tr>
      <w:tr w:rsidR="00307763" w:rsidRPr="00963A39">
        <w:trPr>
          <w:trHeight w:val="900"/>
        </w:trPr>
        <w:tc>
          <w:tcPr>
            <w:tcW w:w="7038" w:type="dxa"/>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Other epidemiologically indicated vaccines and vaccines for state stockpile</w:t>
            </w:r>
          </w:p>
          <w:p w:rsidR="00307763" w:rsidRPr="00963A39" w:rsidRDefault="00307763" w:rsidP="00307763">
            <w:pPr>
              <w:jc w:val="both"/>
              <w:rPr>
                <w:rFonts w:eastAsia="Times New Roman" w:cstheme="minorHAnsi"/>
                <w:color w:val="000000"/>
              </w:rPr>
            </w:pPr>
            <w:r w:rsidRPr="00963A39">
              <w:rPr>
                <w:rFonts w:eastAsia="Times New Roman" w:cstheme="minorHAnsi"/>
                <w:color w:val="000000"/>
              </w:rPr>
              <w:t xml:space="preserve">   </w:t>
            </w:r>
            <w:r w:rsidRPr="00963A39">
              <w:rPr>
                <w:rFonts w:eastAsia="Times New Roman" w:cstheme="minorHAnsi"/>
                <w:i/>
                <w:color w:val="000000"/>
              </w:rPr>
              <w:t>Of which, Hepatitis A</w:t>
            </w:r>
          </w:p>
        </w:tc>
        <w:tc>
          <w:tcPr>
            <w:tcW w:w="1530" w:type="dxa"/>
            <w:noWrap/>
          </w:tcPr>
          <w:p w:rsidR="00307763" w:rsidRPr="00963A39" w:rsidRDefault="00307763" w:rsidP="00307763">
            <w:pPr>
              <w:jc w:val="both"/>
              <w:rPr>
                <w:rFonts w:cstheme="minorHAnsi"/>
                <w:color w:val="000000"/>
              </w:rPr>
            </w:pPr>
            <w:r w:rsidRPr="00963A39">
              <w:rPr>
                <w:rFonts w:cstheme="minorHAnsi"/>
                <w:color w:val="000000"/>
              </w:rPr>
              <w:t>$1,602,644</w:t>
            </w:r>
          </w:p>
          <w:p w:rsidR="00307763" w:rsidRPr="00963A39" w:rsidRDefault="00307763" w:rsidP="00307763">
            <w:pPr>
              <w:jc w:val="both"/>
              <w:rPr>
                <w:rFonts w:eastAsia="Times New Roman" w:cstheme="minorHAnsi"/>
                <w:color w:val="000000"/>
              </w:rPr>
            </w:pPr>
            <w:r>
              <w:rPr>
                <w:rFonts w:cstheme="minorHAnsi"/>
                <w:i/>
                <w:color w:val="000000"/>
              </w:rPr>
              <w:t xml:space="preserve">   </w:t>
            </w:r>
            <w:r w:rsidRPr="00963A39">
              <w:rPr>
                <w:rFonts w:cstheme="minorHAnsi"/>
                <w:i/>
                <w:color w:val="000000"/>
              </w:rPr>
              <w:t>$1,019,472</w:t>
            </w:r>
          </w:p>
        </w:tc>
        <w:tc>
          <w:tcPr>
            <w:tcW w:w="1008"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51%</w:t>
            </w:r>
          </w:p>
          <w:p w:rsidR="00307763" w:rsidRPr="00963A39" w:rsidRDefault="00307763" w:rsidP="00307763">
            <w:pPr>
              <w:jc w:val="both"/>
              <w:rPr>
                <w:rFonts w:eastAsia="Times New Roman" w:cstheme="minorHAnsi"/>
                <w:color w:val="000000"/>
              </w:rPr>
            </w:pPr>
          </w:p>
          <w:p w:rsidR="00307763" w:rsidRPr="00963A39" w:rsidRDefault="00307763" w:rsidP="00307763">
            <w:pPr>
              <w:jc w:val="both"/>
              <w:rPr>
                <w:rFonts w:eastAsia="Times New Roman" w:cstheme="minorHAnsi"/>
                <w:i/>
                <w:color w:val="000000"/>
              </w:rPr>
            </w:pPr>
          </w:p>
          <w:p w:rsidR="00307763" w:rsidRPr="00963A39" w:rsidRDefault="00307763" w:rsidP="00307763">
            <w:pPr>
              <w:jc w:val="both"/>
              <w:rPr>
                <w:rFonts w:eastAsia="Times New Roman" w:cstheme="minorHAnsi"/>
                <w:color w:val="000000"/>
              </w:rPr>
            </w:pPr>
            <w:r w:rsidRPr="00963A39">
              <w:rPr>
                <w:rFonts w:eastAsia="Times New Roman" w:cstheme="minorHAnsi"/>
                <w:i/>
                <w:color w:val="000000"/>
              </w:rPr>
              <w:t>32%</w:t>
            </w:r>
          </w:p>
        </w:tc>
      </w:tr>
      <w:tr w:rsidR="00307763" w:rsidRPr="00963A39">
        <w:trPr>
          <w:trHeight w:val="300"/>
        </w:trPr>
        <w:tc>
          <w:tcPr>
            <w:tcW w:w="7038"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Injection supplies</w:t>
            </w:r>
          </w:p>
        </w:tc>
        <w:tc>
          <w:tcPr>
            <w:tcW w:w="1530"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w:t>
            </w:r>
            <w:r w:rsidRPr="00963A39">
              <w:rPr>
                <w:rFonts w:cstheme="minorHAnsi"/>
                <w:color w:val="000000"/>
              </w:rPr>
              <w:t>66,670</w:t>
            </w:r>
          </w:p>
        </w:tc>
        <w:tc>
          <w:tcPr>
            <w:tcW w:w="1008"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2%</w:t>
            </w:r>
          </w:p>
        </w:tc>
      </w:tr>
      <w:tr w:rsidR="00307763" w:rsidRPr="00963A39">
        <w:trPr>
          <w:trHeight w:val="300"/>
        </w:trPr>
        <w:tc>
          <w:tcPr>
            <w:tcW w:w="7038"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Transport</w:t>
            </w:r>
          </w:p>
        </w:tc>
        <w:tc>
          <w:tcPr>
            <w:tcW w:w="1530" w:type="dxa"/>
            <w:noWrap/>
          </w:tcPr>
          <w:p w:rsidR="00307763" w:rsidRPr="00963A39" w:rsidRDefault="00307763" w:rsidP="00307763">
            <w:pPr>
              <w:jc w:val="both"/>
              <w:rPr>
                <w:rFonts w:eastAsia="Times New Roman" w:cstheme="minorHAnsi"/>
                <w:color w:val="000000"/>
              </w:rPr>
            </w:pPr>
            <w:r w:rsidRPr="00963A39">
              <w:rPr>
                <w:rFonts w:cstheme="minorHAnsi"/>
                <w:color w:val="000000"/>
              </w:rPr>
              <w:t>$37,988</w:t>
            </w:r>
          </w:p>
        </w:tc>
        <w:tc>
          <w:tcPr>
            <w:tcW w:w="1008" w:type="dxa"/>
            <w:noWrap/>
          </w:tcPr>
          <w:p w:rsidR="00307763" w:rsidRPr="00963A39" w:rsidRDefault="00307763" w:rsidP="00307763">
            <w:pPr>
              <w:jc w:val="both"/>
              <w:rPr>
                <w:rFonts w:eastAsia="Times New Roman" w:cstheme="minorHAnsi"/>
                <w:color w:val="000000"/>
              </w:rPr>
            </w:pPr>
            <w:r w:rsidRPr="00963A39">
              <w:rPr>
                <w:rFonts w:eastAsia="Times New Roman" w:cstheme="minorHAnsi"/>
                <w:color w:val="000000"/>
              </w:rPr>
              <w:t>1%</w:t>
            </w:r>
          </w:p>
        </w:tc>
      </w:tr>
    </w:tbl>
    <w:p w:rsidR="00307763" w:rsidRPr="00AF459E" w:rsidRDefault="00307763" w:rsidP="00307763">
      <w:pPr>
        <w:pStyle w:val="FootnoteText"/>
        <w:rPr>
          <w:rFonts w:asciiTheme="minorHAnsi" w:hAnsiTheme="minorHAnsi" w:cstheme="minorHAnsi"/>
          <w:szCs w:val="22"/>
        </w:rPr>
      </w:pPr>
      <w:r w:rsidRPr="00AF459E">
        <w:rPr>
          <w:rFonts w:asciiTheme="minorHAnsi" w:hAnsiTheme="minorHAnsi" w:cstheme="minorHAnsi"/>
          <w:szCs w:val="22"/>
        </w:rPr>
        <w:t>Source:  Annual Report of the Immunization Fund Activities in 2011, December 25, 2011.  Average 2011 exchange rate:  1266 Mongolian LCU to US$1 (World Bank).</w:t>
      </w:r>
    </w:p>
    <w:p w:rsidR="00307763" w:rsidRPr="00963A39" w:rsidRDefault="00307763" w:rsidP="00307763">
      <w:pPr>
        <w:jc w:val="both"/>
        <w:rPr>
          <w:rFonts w:cstheme="minorHAnsi"/>
        </w:rPr>
      </w:pPr>
      <w:proofErr w:type="gramStart"/>
      <w:r w:rsidRPr="00963A39">
        <w:rPr>
          <w:rFonts w:cstheme="minorHAnsi"/>
        </w:rPr>
        <w:t>The Fund is overseen by a committee chaired by the Vice-Minister of Health with other members from MOH, MOF, NCCD, MCIDNF, and PHI</w:t>
      </w:r>
      <w:proofErr w:type="gramEnd"/>
      <w:r w:rsidRPr="00963A39">
        <w:rPr>
          <w:rFonts w:cstheme="minorHAnsi"/>
        </w:rPr>
        <w:t xml:space="preserve">.  The oversight committee is tasked with (1) mobilizing and allocating financing to vaccines and injection supplies, (2) approving annual plan for vaccines and supplies for the “State Stockpile for Infectious Diseases”, and (3) ensuring the financial sustainability of the Fund.  </w:t>
      </w:r>
    </w:p>
    <w:p w:rsidR="005643D5" w:rsidRDefault="00307763" w:rsidP="00307763">
      <w:pPr>
        <w:jc w:val="both"/>
        <w:rPr>
          <w:rFonts w:cstheme="minorHAnsi"/>
        </w:rPr>
      </w:pPr>
      <w:r w:rsidRPr="00963A39">
        <w:rPr>
          <w:rFonts w:cstheme="minorHAnsi"/>
        </w:rPr>
        <w:t>JICA financed several of government’s routine vaccines over the period 1996-2006.  This was reduced to funding for just DT and monovalent HepB vaccines for 2007-2010.  JICA is no longer funding vaccines.  Currently, five out of the six routine vaccines are fully funded by the government (BCG, HepB, OPV, MMR, and DT).  The only one that is not is pentavalent which is cost shared between GAVI and the government.  GAVI financing will end in 2015 and the government will be fully responsible for the financing of pentavalent vaccine in 2016.</w:t>
      </w:r>
    </w:p>
    <w:p w:rsidR="005643D5" w:rsidRDefault="005643D5" w:rsidP="00307763">
      <w:pPr>
        <w:jc w:val="both"/>
        <w:rPr>
          <w:rFonts w:cstheme="minorHAnsi"/>
        </w:rPr>
      </w:pPr>
    </w:p>
    <w:p w:rsidR="00307763" w:rsidRPr="00963A39" w:rsidRDefault="00307763" w:rsidP="00307763">
      <w:pPr>
        <w:jc w:val="both"/>
        <w:rPr>
          <w:rFonts w:cstheme="minorHAnsi"/>
        </w:rPr>
      </w:pPr>
    </w:p>
    <w:p w:rsidR="00307763" w:rsidRDefault="00307763" w:rsidP="00307763">
      <w:pPr>
        <w:pStyle w:val="ListParagraph"/>
        <w:numPr>
          <w:ilvl w:val="0"/>
          <w:numId w:val="11"/>
        </w:numPr>
        <w:rPr>
          <w:rFonts w:cstheme="minorHAnsi"/>
          <w:b/>
        </w:rPr>
      </w:pPr>
      <w:r w:rsidRPr="00AF459E">
        <w:rPr>
          <w:rFonts w:cstheme="minorHAnsi"/>
          <w:b/>
        </w:rPr>
        <w:t>Projected financing of vaccines</w:t>
      </w:r>
    </w:p>
    <w:p w:rsidR="00307763" w:rsidRPr="00AF459E" w:rsidRDefault="00307763" w:rsidP="00307763">
      <w:pPr>
        <w:pStyle w:val="ListParagraph"/>
        <w:rPr>
          <w:rFonts w:cstheme="minorHAnsi"/>
          <w:b/>
        </w:rPr>
      </w:pPr>
    </w:p>
    <w:p w:rsidR="00307763" w:rsidRPr="00963A39" w:rsidRDefault="00307763" w:rsidP="00307763">
      <w:pPr>
        <w:jc w:val="both"/>
        <w:rPr>
          <w:rFonts w:cstheme="minorHAnsi"/>
        </w:rPr>
      </w:pPr>
      <w:r w:rsidRPr="00963A39">
        <w:rPr>
          <w:rFonts w:cstheme="minorHAnsi"/>
        </w:rPr>
        <w:t xml:space="preserve">GAVI is </w:t>
      </w:r>
      <w:r>
        <w:rPr>
          <w:rFonts w:cstheme="minorHAnsi"/>
        </w:rPr>
        <w:t>financing only the p</w:t>
      </w:r>
      <w:r w:rsidRPr="00963A39">
        <w:rPr>
          <w:rFonts w:cstheme="minorHAnsi"/>
        </w:rPr>
        <w:t>entavalent</w:t>
      </w:r>
      <w:r>
        <w:rPr>
          <w:rFonts w:cstheme="minorHAnsi"/>
        </w:rPr>
        <w:t xml:space="preserve"> in Mongolia</w:t>
      </w:r>
      <w:r w:rsidRPr="00963A39">
        <w:rPr>
          <w:rFonts w:cstheme="minorHAnsi"/>
        </w:rPr>
        <w:t xml:space="preserve">.  The country’s income per capita is now above GAVI’s eligibility threshold so it is “graduating” from GAVI support.  </w:t>
      </w:r>
      <w:r>
        <w:rPr>
          <w:rFonts w:cstheme="minorHAnsi"/>
        </w:rPr>
        <w:t xml:space="preserve">Mongolia’s last opportunity to submit requests for new vaccine support was in 2011.  The </w:t>
      </w:r>
      <w:proofErr w:type="gramStart"/>
      <w:r>
        <w:rPr>
          <w:rFonts w:cstheme="minorHAnsi"/>
        </w:rPr>
        <w:t xml:space="preserve">MoH </w:t>
      </w:r>
      <w:r w:rsidRPr="00963A39">
        <w:rPr>
          <w:rFonts w:cstheme="minorHAnsi"/>
        </w:rPr>
        <w:t>prepared an application for pneumococcal support from GAVI but it was not</w:t>
      </w:r>
      <w:r>
        <w:rPr>
          <w:rFonts w:cstheme="minorHAnsi"/>
        </w:rPr>
        <w:t>, in the end,</w:t>
      </w:r>
      <w:r w:rsidRPr="00963A39">
        <w:rPr>
          <w:rFonts w:cstheme="minorHAnsi"/>
        </w:rPr>
        <w:t xml:space="preserve"> approved by the Ministry of Finance</w:t>
      </w:r>
      <w:proofErr w:type="gramEnd"/>
      <w:r w:rsidRPr="00963A39">
        <w:rPr>
          <w:rFonts w:cstheme="minorHAnsi"/>
        </w:rPr>
        <w:t xml:space="preserve"> so </w:t>
      </w:r>
      <w:r>
        <w:rPr>
          <w:rFonts w:cstheme="minorHAnsi"/>
        </w:rPr>
        <w:t xml:space="preserve">it </w:t>
      </w:r>
      <w:r w:rsidRPr="00963A39">
        <w:rPr>
          <w:rFonts w:cstheme="minorHAnsi"/>
        </w:rPr>
        <w:t xml:space="preserve">did not go forward.  </w:t>
      </w:r>
      <w:r>
        <w:rPr>
          <w:rFonts w:cstheme="minorHAnsi"/>
        </w:rPr>
        <w:t>Fortunately, Mongolia, as a formerly GAVI-eligible country, is allowed to receive the</w:t>
      </w:r>
      <w:r w:rsidRPr="00963A39">
        <w:rPr>
          <w:rFonts w:cstheme="minorHAnsi"/>
        </w:rPr>
        <w:t xml:space="preserve"> AMC subsidy </w:t>
      </w:r>
      <w:r>
        <w:rPr>
          <w:rFonts w:cstheme="minorHAnsi"/>
        </w:rPr>
        <w:t xml:space="preserve">for pneumococcal vaccine (it will need to pay the AMC price itself, without a GAVI contribution).  </w:t>
      </w:r>
      <w:r w:rsidRPr="00963A39">
        <w:rPr>
          <w:rFonts w:cstheme="minorHAnsi"/>
        </w:rPr>
        <w:t>This will assure a price of no more than $3.50 per dose from now to 2020 (by which time the price will hopefully decline further).  Given</w:t>
      </w:r>
      <w:r>
        <w:rPr>
          <w:rFonts w:cstheme="minorHAnsi"/>
        </w:rPr>
        <w:t xml:space="preserve"> global</w:t>
      </w:r>
      <w:r w:rsidRPr="00963A39">
        <w:rPr>
          <w:rFonts w:cstheme="minorHAnsi"/>
        </w:rPr>
        <w:t xml:space="preserve"> supply constraints, the first year that the vaccine could be introduced would likely be 2014 so in the projections presented below, pneumococcal </w:t>
      </w:r>
      <w:proofErr w:type="gramStart"/>
      <w:r w:rsidRPr="00963A39">
        <w:rPr>
          <w:rFonts w:cstheme="minorHAnsi"/>
        </w:rPr>
        <w:t>is assumed to be introduced</w:t>
      </w:r>
      <w:proofErr w:type="gramEnd"/>
      <w:r w:rsidRPr="00963A39">
        <w:rPr>
          <w:rFonts w:cstheme="minorHAnsi"/>
        </w:rPr>
        <w:t xml:space="preserve"> in 2014 at a price of $3.50 per dose, or $3.69 with injection supplies included. </w:t>
      </w:r>
    </w:p>
    <w:p w:rsidR="00307763" w:rsidRPr="00963A39" w:rsidRDefault="00307763" w:rsidP="00307763">
      <w:pPr>
        <w:jc w:val="both"/>
        <w:rPr>
          <w:rFonts w:cstheme="minorHAnsi"/>
        </w:rPr>
      </w:pPr>
      <w:r w:rsidRPr="00963A39">
        <w:rPr>
          <w:rFonts w:cstheme="minorHAnsi"/>
        </w:rPr>
        <w:t xml:space="preserve">For pentavalent, the government is contributing above and beyond its co-financing requirement for GAVI.  Co-financing will ramp up until 2015, the last year of GAVI support.  In 2016, the government will be 100% responsible for pentavalent financing.  The government currently receives a one-dose presentation of pentavalent.  It could consider changes in product or presentation to make savings, however a move to multi-dose vials (cheaper per dose) needs to be balanced against whatever increase in wastage might occur.   </w:t>
      </w:r>
    </w:p>
    <w:p w:rsidR="00307763" w:rsidRPr="00963A39" w:rsidRDefault="00307763" w:rsidP="00307763">
      <w:pPr>
        <w:jc w:val="both"/>
        <w:rPr>
          <w:rFonts w:cstheme="minorHAnsi"/>
        </w:rPr>
      </w:pPr>
      <w:r w:rsidRPr="00963A39">
        <w:rPr>
          <w:rFonts w:cstheme="minorHAnsi"/>
        </w:rPr>
        <w:t>Figure 1 shows the ramp up in projected vaccines expenditures for the Mongolian government, assuming that</w:t>
      </w:r>
      <w:proofErr w:type="gramStart"/>
      <w:r>
        <w:rPr>
          <w:rFonts w:cstheme="minorHAnsi"/>
        </w:rPr>
        <w:t>;</w:t>
      </w:r>
      <w:proofErr w:type="gramEnd"/>
    </w:p>
    <w:p w:rsidR="00307763" w:rsidRPr="00AF459E" w:rsidRDefault="00307763" w:rsidP="00307763">
      <w:pPr>
        <w:pStyle w:val="ListParagraph"/>
        <w:numPr>
          <w:ilvl w:val="0"/>
          <w:numId w:val="9"/>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 xml:space="preserve">The government provides Hepatitis A nationwide  </w:t>
      </w:r>
    </w:p>
    <w:p w:rsidR="00307763" w:rsidRPr="00AF459E" w:rsidRDefault="00307763" w:rsidP="00307763">
      <w:pPr>
        <w:pStyle w:val="ListParagraph"/>
        <w:numPr>
          <w:ilvl w:val="0"/>
          <w:numId w:val="9"/>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 xml:space="preserve">It continues to increase co-financing of pentavalent until it is 100% self-financed in 2016, </w:t>
      </w:r>
    </w:p>
    <w:p w:rsidR="00307763" w:rsidRPr="00AF459E" w:rsidRDefault="00307763" w:rsidP="00307763">
      <w:pPr>
        <w:pStyle w:val="ListParagraph"/>
        <w:numPr>
          <w:ilvl w:val="0"/>
          <w:numId w:val="9"/>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Pneumococcal vaccine is introduced in 2014, at the GAVI price of US$3.50, with 100% government finance.</w:t>
      </w:r>
    </w:p>
    <w:p w:rsidR="00307763" w:rsidRPr="00AF459E" w:rsidRDefault="00307763" w:rsidP="00307763">
      <w:pPr>
        <w:pStyle w:val="ListParagraph"/>
        <w:rPr>
          <w:rFonts w:asciiTheme="minorHAnsi" w:hAnsiTheme="minorHAnsi" w:cstheme="minorHAnsi"/>
          <w:sz w:val="22"/>
        </w:rPr>
      </w:pPr>
    </w:p>
    <w:p w:rsidR="00307763" w:rsidRPr="00AF459E" w:rsidRDefault="00307763" w:rsidP="00307763">
      <w:pPr>
        <w:pStyle w:val="ListParagraph"/>
        <w:ind w:left="0"/>
        <w:rPr>
          <w:rFonts w:asciiTheme="minorHAnsi" w:hAnsiTheme="minorHAnsi" w:cstheme="minorHAnsi"/>
          <w:sz w:val="22"/>
        </w:rPr>
      </w:pPr>
      <w:r w:rsidRPr="00AF459E">
        <w:rPr>
          <w:rFonts w:asciiTheme="minorHAnsi" w:hAnsiTheme="minorHAnsi" w:cstheme="minorHAnsi"/>
          <w:sz w:val="22"/>
        </w:rPr>
        <w:t xml:space="preserve">In these projections, Hepatitis A is assumed to cost US$13 per dose and at this price, makes up the most costly vaccine in total expenditures.  The costs of non-routine vaccines (excluding Hepatitis A) are expected to remain constant.  In these projections, the already low prices of routine vaccines are assumed to remain constant, but doses change as forecast in Mongolia’s 2011 cMYP.    Total projected vaccine expenditures rise from US$2.3 million in 2012 to US$4.4 million in 2015.  </w:t>
      </w:r>
    </w:p>
    <w:p w:rsidR="00307763" w:rsidRDefault="00307763" w:rsidP="00307763">
      <w:pPr>
        <w:pStyle w:val="ListParagraph"/>
        <w:ind w:left="0" w:firstLine="720"/>
        <w:rPr>
          <w:rFonts w:asciiTheme="minorHAnsi" w:hAnsiTheme="minorHAnsi" w:cstheme="minorHAnsi"/>
        </w:rPr>
      </w:pPr>
    </w:p>
    <w:p w:rsidR="00307763" w:rsidRDefault="00307763" w:rsidP="00307763">
      <w:pPr>
        <w:pStyle w:val="ListParagraph"/>
        <w:ind w:left="0" w:firstLine="720"/>
        <w:rPr>
          <w:rFonts w:asciiTheme="minorHAnsi" w:hAnsiTheme="minorHAnsi" w:cstheme="minorHAnsi"/>
        </w:rPr>
      </w:pPr>
    </w:p>
    <w:p w:rsidR="00307763" w:rsidRDefault="00307763" w:rsidP="00307763">
      <w:pPr>
        <w:pStyle w:val="ListParagraph"/>
        <w:ind w:left="0" w:firstLine="720"/>
        <w:rPr>
          <w:rFonts w:asciiTheme="minorHAnsi" w:hAnsiTheme="minorHAnsi" w:cstheme="minorHAnsi"/>
        </w:rPr>
      </w:pPr>
    </w:p>
    <w:p w:rsidR="005643D5" w:rsidRDefault="005643D5" w:rsidP="00307763">
      <w:pPr>
        <w:pStyle w:val="ListParagraph"/>
        <w:ind w:left="0" w:firstLine="720"/>
        <w:rPr>
          <w:rFonts w:asciiTheme="minorHAnsi" w:hAnsiTheme="minorHAnsi" w:cstheme="minorHAnsi"/>
        </w:rPr>
      </w:pPr>
    </w:p>
    <w:p w:rsidR="005643D5" w:rsidRDefault="005643D5" w:rsidP="00307763">
      <w:pPr>
        <w:pStyle w:val="ListParagraph"/>
        <w:ind w:left="0" w:firstLine="720"/>
        <w:rPr>
          <w:rFonts w:asciiTheme="minorHAnsi" w:hAnsiTheme="minorHAnsi" w:cstheme="minorHAnsi"/>
        </w:rPr>
      </w:pPr>
    </w:p>
    <w:p w:rsidR="00307763" w:rsidRDefault="00307763" w:rsidP="00307763">
      <w:pPr>
        <w:pStyle w:val="ListParagraph"/>
        <w:ind w:left="0" w:firstLine="720"/>
        <w:rPr>
          <w:rFonts w:asciiTheme="minorHAnsi" w:hAnsiTheme="minorHAnsi" w:cstheme="minorHAnsi"/>
        </w:rPr>
      </w:pPr>
    </w:p>
    <w:p w:rsidR="00307763" w:rsidRDefault="00307763" w:rsidP="00307763">
      <w:pPr>
        <w:pStyle w:val="ListParagraph"/>
        <w:ind w:left="0" w:firstLine="720"/>
        <w:rPr>
          <w:rFonts w:asciiTheme="minorHAnsi" w:hAnsiTheme="minorHAnsi" w:cstheme="minorHAnsi"/>
        </w:rPr>
      </w:pPr>
    </w:p>
    <w:p w:rsidR="00307763" w:rsidRDefault="00307763" w:rsidP="00307763">
      <w:pPr>
        <w:pStyle w:val="ListParagraph"/>
        <w:ind w:left="0" w:firstLine="720"/>
        <w:rPr>
          <w:rFonts w:asciiTheme="minorHAnsi" w:hAnsiTheme="minorHAnsi" w:cstheme="minorHAnsi"/>
        </w:rPr>
      </w:pPr>
    </w:p>
    <w:p w:rsidR="00307763" w:rsidRPr="00963A39" w:rsidRDefault="00307763" w:rsidP="00307763">
      <w:pPr>
        <w:rPr>
          <w:rFonts w:cstheme="minorHAnsi"/>
        </w:rPr>
      </w:pPr>
      <w:r w:rsidRPr="00AF459E">
        <w:rPr>
          <w:rFonts w:cstheme="minorHAnsi"/>
          <w:b/>
        </w:rPr>
        <w:t>Figure 1: Projected Total Vaccine Expenditures with Pneumo Introduction in 2014</w:t>
      </w:r>
    </w:p>
    <w:p w:rsidR="00307763" w:rsidRPr="00963A39" w:rsidRDefault="00307763" w:rsidP="00307763">
      <w:pPr>
        <w:pStyle w:val="ListParagraph"/>
        <w:ind w:left="0"/>
        <w:rPr>
          <w:rFonts w:asciiTheme="minorHAnsi" w:hAnsiTheme="minorHAnsi" w:cstheme="minorHAnsi"/>
        </w:rPr>
      </w:pPr>
      <w:r w:rsidRPr="00963A39">
        <w:rPr>
          <w:rFonts w:asciiTheme="minorHAnsi" w:hAnsiTheme="minorHAnsi" w:cstheme="minorHAnsi"/>
          <w:noProof/>
          <w:lang w:val="en-US"/>
        </w:rPr>
        <w:drawing>
          <wp:inline distT="0" distB="0" distL="0" distR="0">
            <wp:extent cx="5600700" cy="3352800"/>
            <wp:effectExtent l="0" t="0" r="19050" b="1905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7763" w:rsidRDefault="00307763" w:rsidP="00307763">
      <w:pPr>
        <w:jc w:val="both"/>
        <w:rPr>
          <w:rFonts w:eastAsia="Times New Roman" w:cstheme="minorHAnsi"/>
          <w:sz w:val="24"/>
          <w:szCs w:val="24"/>
          <w:lang w:val="en-GB"/>
        </w:rPr>
      </w:pPr>
    </w:p>
    <w:p w:rsidR="005643D5" w:rsidRDefault="00307763" w:rsidP="00307763">
      <w:pPr>
        <w:jc w:val="both"/>
        <w:rPr>
          <w:rFonts w:cstheme="minorHAnsi"/>
        </w:rPr>
      </w:pPr>
      <w:r w:rsidRPr="00963A39">
        <w:rPr>
          <w:rFonts w:cstheme="minorHAnsi"/>
        </w:rPr>
        <w:t>Figure 2 shows the ramp up in expected expenditures for the government, assuming that HPV is scaled up nationally, starting in 2013.  At present, the vaccine has been introduced just on a trial basis.  Total projected vaccine expenditures would rise from US$2.3 million in 2012 to US$5.0 million in 2015.</w:t>
      </w:r>
    </w:p>
    <w:p w:rsidR="00307763" w:rsidRPr="005643D5" w:rsidRDefault="005643D5" w:rsidP="005643D5">
      <w:pPr>
        <w:rPr>
          <w:rFonts w:cstheme="minorHAnsi"/>
        </w:rPr>
      </w:pPr>
      <w:r>
        <w:rPr>
          <w:rFonts w:cstheme="minorHAnsi"/>
        </w:rPr>
        <w:br w:type="page"/>
      </w:r>
      <w:r w:rsidR="00307763">
        <w:rPr>
          <w:rFonts w:cstheme="minorHAnsi"/>
          <w:b/>
        </w:rPr>
        <w:t>Figure 2: Projected Total Vaccine Expenditures with HPV introduction in 2013 and Pneumo in 2014</w:t>
      </w:r>
    </w:p>
    <w:p w:rsidR="00307763" w:rsidRPr="00963A39" w:rsidRDefault="00307763" w:rsidP="00307763">
      <w:pPr>
        <w:spacing w:after="120"/>
        <w:jc w:val="both"/>
        <w:rPr>
          <w:rFonts w:cstheme="minorHAnsi"/>
          <w:bCs/>
        </w:rPr>
      </w:pPr>
      <w:r w:rsidRPr="00963A39">
        <w:rPr>
          <w:rFonts w:cstheme="minorHAnsi"/>
          <w:bCs/>
          <w:noProof/>
        </w:rPr>
        <w:drawing>
          <wp:inline distT="0" distB="0" distL="0" distR="0">
            <wp:extent cx="5543550" cy="281940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7763" w:rsidRPr="00963A39" w:rsidRDefault="00307763" w:rsidP="00307763">
      <w:pPr>
        <w:spacing w:after="0" w:line="240" w:lineRule="auto"/>
        <w:jc w:val="both"/>
        <w:rPr>
          <w:rFonts w:cstheme="minorHAnsi"/>
        </w:rPr>
      </w:pPr>
    </w:p>
    <w:p w:rsidR="00307763" w:rsidRDefault="00307763" w:rsidP="00307763">
      <w:pPr>
        <w:jc w:val="both"/>
        <w:rPr>
          <w:rFonts w:cstheme="minorHAnsi"/>
        </w:rPr>
      </w:pPr>
      <w:r w:rsidRPr="00963A39">
        <w:rPr>
          <w:rFonts w:cstheme="minorHAnsi"/>
        </w:rPr>
        <w:t>Figure 3 also adds in rotavirus vaccine, but its introduction is assumed to start in 2019 so only affects costs in that year and beyond.</w:t>
      </w:r>
    </w:p>
    <w:p w:rsidR="00307763" w:rsidRPr="00AF459E" w:rsidRDefault="00307763" w:rsidP="00307763">
      <w:pPr>
        <w:jc w:val="both"/>
        <w:rPr>
          <w:rFonts w:cstheme="minorHAnsi"/>
          <w:b/>
        </w:rPr>
      </w:pPr>
      <w:r>
        <w:rPr>
          <w:rFonts w:cstheme="minorHAnsi"/>
          <w:b/>
        </w:rPr>
        <w:t>Figure 3: Projected Total Vaccine Expenditure with Pneumo Introduction in 2014, Rotavirus in 2019</w:t>
      </w:r>
    </w:p>
    <w:p w:rsidR="00307763" w:rsidRPr="00963A39" w:rsidRDefault="00307763" w:rsidP="00307763">
      <w:pPr>
        <w:spacing w:after="0" w:line="240" w:lineRule="auto"/>
        <w:jc w:val="both"/>
        <w:rPr>
          <w:rFonts w:cstheme="minorHAnsi"/>
        </w:rPr>
      </w:pPr>
      <w:r w:rsidRPr="00963A39">
        <w:rPr>
          <w:rFonts w:cstheme="minorHAnsi"/>
          <w:noProof/>
        </w:rPr>
        <w:drawing>
          <wp:inline distT="0" distB="0" distL="0" distR="0">
            <wp:extent cx="5657850" cy="2933700"/>
            <wp:effectExtent l="19050" t="0" r="1905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7763" w:rsidRPr="00963A39" w:rsidRDefault="00307763" w:rsidP="00307763">
      <w:pPr>
        <w:spacing w:after="0" w:line="240" w:lineRule="auto"/>
        <w:jc w:val="both"/>
        <w:rPr>
          <w:rFonts w:cstheme="minorHAnsi"/>
        </w:rPr>
      </w:pPr>
    </w:p>
    <w:p w:rsidR="00307763" w:rsidRPr="00963A39" w:rsidRDefault="00307763" w:rsidP="00307763">
      <w:pPr>
        <w:jc w:val="both"/>
        <w:rPr>
          <w:rFonts w:cstheme="minorHAnsi"/>
        </w:rPr>
      </w:pPr>
      <w:r w:rsidRPr="00963A39">
        <w:rPr>
          <w:rFonts w:cstheme="minorHAnsi"/>
        </w:rPr>
        <w:t xml:space="preserve">These scenarios present only part of the cost implications of new vaccine introductions as cold chain expansion and service delivery costs are not included.  As mentioned above, the government believes that existing cold chain capacity would be sufficient for HepA nationwide introduction, but insufficient for PCV and Rotavirus vaccine introductions.  New vaccines almost always have incremental service delivery cost implications, unless they are replacement vaccines with cost savings.  HPV vaccine in particular is expected to have higher incremental service delivery costs as the vaccine will be delivered in a school-based setting in Mongolia, which is a new delivery channel. </w:t>
      </w:r>
    </w:p>
    <w:p w:rsidR="00307763" w:rsidRPr="00963A39" w:rsidRDefault="00307763" w:rsidP="00307763">
      <w:pPr>
        <w:jc w:val="both"/>
        <w:rPr>
          <w:rFonts w:cstheme="minorHAnsi"/>
        </w:rPr>
      </w:pPr>
      <w:r w:rsidRPr="00963A39">
        <w:rPr>
          <w:rFonts w:cstheme="minorHAnsi"/>
        </w:rPr>
        <w:t>Projected costs should also be evaluated against projected benefits.  In evaluating the selection and phasing of new vaccine introductions, cost effectiveness analyses would be useful to carry out, even if done in an approximate way.  The analyses should consider the benefits of the vaccines against the costs (including cost savings from medical treatment), and alternative interventions that might exist to address the health problem.  Since the government has not fully committed to either HPV or HepA introduction (at least they are not included yet in the immunization schedule), this is a useful point to re-examine what are the top priorities for new vaccine introductions considering alternatives that exist.</w:t>
      </w:r>
    </w:p>
    <w:p w:rsidR="00307763" w:rsidRPr="00963A39" w:rsidRDefault="00307763" w:rsidP="00307763">
      <w:pPr>
        <w:jc w:val="both"/>
        <w:rPr>
          <w:rFonts w:cstheme="minorHAnsi"/>
        </w:rPr>
      </w:pPr>
      <w:r w:rsidRPr="00963A39">
        <w:rPr>
          <w:rFonts w:cstheme="minorHAnsi"/>
        </w:rPr>
        <w:t>In addition to cost-effectiveness considerations, there is the practical question of whether the new vaccines are likely to be affordable.  Mongolia became the fastest growing Asian economy in 2011, with a 17.3% growth rate.  The IMF projects continued rapid growth in real terms (17% for 2012, 12% for 2013, 12% for 2014, and 5% for 2015)</w:t>
      </w:r>
      <w:r w:rsidRPr="00963A39">
        <w:rPr>
          <w:rStyle w:val="FootnoteReference"/>
        </w:rPr>
        <w:footnoteReference w:id="3"/>
      </w:r>
      <w:r w:rsidRPr="00963A39">
        <w:rPr>
          <w:rFonts w:cstheme="minorHAnsi"/>
        </w:rPr>
        <w:t xml:space="preserve">.  Government spending is growing rapidly, powered by rapidly growing </w:t>
      </w:r>
      <w:r>
        <w:rPr>
          <w:rFonts w:cstheme="minorHAnsi"/>
        </w:rPr>
        <w:t>tax r</w:t>
      </w:r>
      <w:r w:rsidRPr="00963A39">
        <w:rPr>
          <w:rFonts w:cstheme="minorHAnsi"/>
        </w:rPr>
        <w:t xml:space="preserve">evenues.  The government is taking measures to support fiscal sustainability through its Fiscal Stability </w:t>
      </w:r>
      <w:proofErr w:type="gramStart"/>
      <w:r w:rsidRPr="00963A39">
        <w:rPr>
          <w:rFonts w:cstheme="minorHAnsi"/>
        </w:rPr>
        <w:t>Law which</w:t>
      </w:r>
      <w:proofErr w:type="gramEnd"/>
      <w:r w:rsidRPr="00963A39">
        <w:rPr>
          <w:rFonts w:cstheme="minorHAnsi"/>
        </w:rPr>
        <w:t xml:space="preserve"> is intended first to help avoid adverse impacts from too rapidly growing government spending during periods of rapid economic growth, as well as help buffer the economy in the event of commodity price shocks.   While there should be ample growth nonetheless in the Ministry of Health’s budget, the Ministry of Health needs to be prepared to make clear and effective arguments for new vaccine introduction with the Ministry of Finance in order for these vaccines to be included in the </w:t>
      </w:r>
      <w:r w:rsidRPr="00963A39">
        <w:rPr>
          <w:rFonts w:cstheme="minorHAnsi"/>
          <w:i/>
          <w:iCs/>
        </w:rPr>
        <w:t xml:space="preserve">investment </w:t>
      </w:r>
      <w:r w:rsidRPr="00963A39">
        <w:rPr>
          <w:rFonts w:cstheme="minorHAnsi"/>
        </w:rPr>
        <w:t xml:space="preserve">budget.  A clear picture of the cost-effectiveness and economic benefit analysis of new vaccine introductions could lay the basis for </w:t>
      </w:r>
      <w:proofErr w:type="gramStart"/>
      <w:r w:rsidRPr="00963A39">
        <w:rPr>
          <w:rFonts w:cstheme="minorHAnsi"/>
        </w:rPr>
        <w:t>priority-setting</w:t>
      </w:r>
      <w:proofErr w:type="gramEnd"/>
      <w:r w:rsidRPr="00963A39">
        <w:rPr>
          <w:rFonts w:cstheme="minorHAnsi"/>
        </w:rPr>
        <w:t>.</w:t>
      </w:r>
    </w:p>
    <w:p w:rsidR="005643D5" w:rsidRDefault="00307763" w:rsidP="00307763">
      <w:pPr>
        <w:jc w:val="both"/>
        <w:rPr>
          <w:rFonts w:cstheme="minorHAnsi"/>
        </w:rPr>
      </w:pPr>
      <w:r w:rsidRPr="00963A39">
        <w:rPr>
          <w:rFonts w:cstheme="minorHAnsi"/>
        </w:rPr>
        <w:t xml:space="preserve">One concern is that the government spending on health as a share of GDP and as a share of total government spending has been declining in recent years (Figure 4).  Looking to global experience, income growth usually leads to </w:t>
      </w:r>
      <w:r w:rsidRPr="00963A39">
        <w:rPr>
          <w:rFonts w:cstheme="minorHAnsi"/>
          <w:i/>
        </w:rPr>
        <w:t>slow increases</w:t>
      </w:r>
      <w:r w:rsidRPr="00963A39">
        <w:rPr>
          <w:rFonts w:cstheme="minorHAnsi"/>
        </w:rPr>
        <w:t xml:space="preserve"> in public spending on health’s share of GDP and its share of total government spending, not </w:t>
      </w:r>
      <w:r w:rsidRPr="00963A39">
        <w:rPr>
          <w:rFonts w:cstheme="minorHAnsi"/>
          <w:i/>
        </w:rPr>
        <w:t>decreases</w:t>
      </w:r>
      <w:r w:rsidRPr="00963A39">
        <w:rPr>
          <w:rFonts w:cstheme="minorHAnsi"/>
        </w:rPr>
        <w:t xml:space="preserve">.  </w:t>
      </w:r>
    </w:p>
    <w:p w:rsidR="00307763" w:rsidRPr="005643D5" w:rsidRDefault="005643D5" w:rsidP="005643D5">
      <w:pPr>
        <w:rPr>
          <w:rFonts w:cstheme="minorHAnsi"/>
        </w:rPr>
      </w:pPr>
      <w:r>
        <w:rPr>
          <w:rFonts w:cstheme="minorHAnsi"/>
        </w:rPr>
        <w:br w:type="page"/>
      </w:r>
      <w:r w:rsidR="00307763">
        <w:rPr>
          <w:rFonts w:cstheme="minorHAnsi"/>
          <w:b/>
        </w:rPr>
        <w:t>Figure 4: Government Health Spending as a Share of GDP and overall Government Spending, 2000-2011</w:t>
      </w:r>
    </w:p>
    <w:p w:rsidR="00307763" w:rsidRPr="00963A39" w:rsidRDefault="00307763" w:rsidP="00307763">
      <w:pPr>
        <w:spacing w:after="0" w:line="240" w:lineRule="auto"/>
        <w:jc w:val="both"/>
        <w:rPr>
          <w:rFonts w:cstheme="minorHAnsi"/>
        </w:rPr>
      </w:pPr>
    </w:p>
    <w:p w:rsidR="00307763" w:rsidRPr="00963A39" w:rsidRDefault="00307763" w:rsidP="00307763">
      <w:pPr>
        <w:spacing w:after="0" w:line="240" w:lineRule="auto"/>
        <w:jc w:val="both"/>
        <w:rPr>
          <w:rFonts w:cstheme="minorHAnsi"/>
        </w:rPr>
      </w:pPr>
      <w:r w:rsidRPr="00963A39">
        <w:rPr>
          <w:rFonts w:cstheme="minorHAnsi"/>
          <w:noProof/>
        </w:rPr>
        <w:drawing>
          <wp:inline distT="0" distB="0" distL="0" distR="0">
            <wp:extent cx="5902960" cy="3590925"/>
            <wp:effectExtent l="0" t="0" r="21590" b="9525"/>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7763" w:rsidRPr="00AF459E" w:rsidRDefault="00307763" w:rsidP="00307763">
      <w:pPr>
        <w:rPr>
          <w:rFonts w:cstheme="minorHAnsi"/>
          <w:noProof/>
          <w:sz w:val="20"/>
        </w:rPr>
      </w:pPr>
      <w:r w:rsidRPr="00AF459E">
        <w:rPr>
          <w:rFonts w:cstheme="minorHAnsi"/>
          <w:noProof/>
          <w:sz w:val="20"/>
        </w:rPr>
        <w:t>Source:  Health Indicators 2011, Government of Mongolia, State Implementing Agenda of Health and WHO National Health Accounts database.</w:t>
      </w:r>
    </w:p>
    <w:p w:rsidR="005643D5" w:rsidRDefault="00307763" w:rsidP="00307763">
      <w:pPr>
        <w:jc w:val="both"/>
        <w:rPr>
          <w:rFonts w:cstheme="minorHAnsi"/>
        </w:rPr>
      </w:pPr>
      <w:r w:rsidRPr="00963A39">
        <w:rPr>
          <w:rFonts w:cstheme="minorHAnsi"/>
        </w:rPr>
        <w:t xml:space="preserve">Figure 5 makes a more optimistic assumption than current trends in Mongolia, based on international experience, by projecting that government spending on health keeps up with the rate of GDP growth over the medium term.  It presents projected total vaccine expenditures as a share of projected government spending on health.  All three scenarios show an increase in the share of government spending on health to vaccines up until 2015, as expected as the government invests in new vaccines.  After 2015 this starts to fall (driven largely by the continued increases in government spending in health).  </w:t>
      </w:r>
    </w:p>
    <w:p w:rsidR="00307763" w:rsidRPr="005643D5" w:rsidRDefault="005643D5" w:rsidP="005643D5">
      <w:pPr>
        <w:rPr>
          <w:rFonts w:cstheme="minorHAnsi"/>
        </w:rPr>
      </w:pPr>
      <w:r>
        <w:rPr>
          <w:rFonts w:cstheme="minorHAnsi"/>
        </w:rPr>
        <w:br w:type="page"/>
      </w:r>
      <w:r w:rsidR="00307763">
        <w:rPr>
          <w:rFonts w:cstheme="minorHAnsi"/>
          <w:b/>
        </w:rPr>
        <w:t>Figure 5: Total Projected Vaccine Costs as a Percent of Public Spending on Health – 3 Scenarios</w:t>
      </w:r>
    </w:p>
    <w:p w:rsidR="00307763" w:rsidRPr="00963A39" w:rsidRDefault="00307763" w:rsidP="00307763">
      <w:pPr>
        <w:jc w:val="both"/>
        <w:rPr>
          <w:rFonts w:cstheme="minorHAnsi"/>
        </w:rPr>
      </w:pPr>
      <w:r w:rsidRPr="00963A39">
        <w:rPr>
          <w:rFonts w:cstheme="minorHAnsi"/>
          <w:noProof/>
        </w:rPr>
        <w:drawing>
          <wp:inline distT="0" distB="0" distL="0" distR="0">
            <wp:extent cx="5731510" cy="2852284"/>
            <wp:effectExtent l="19050" t="0" r="21590" b="5216"/>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7763" w:rsidRPr="00963A39" w:rsidRDefault="00307763" w:rsidP="00307763">
      <w:pPr>
        <w:jc w:val="both"/>
        <w:rPr>
          <w:rFonts w:cstheme="minorHAnsi"/>
        </w:rPr>
      </w:pPr>
      <w:r w:rsidRPr="00963A39">
        <w:rPr>
          <w:rFonts w:cstheme="minorHAnsi"/>
        </w:rPr>
        <w:t xml:space="preserve">Vaccines are important investments in health.  Whatever vaccine portfolio is selected, it needs to be presented to the Ministry of Health and Ministry of Finance with a clear and compelling “investment case” about how the vaccines were selected and what benefits are expected to occur, against the investment costs. </w:t>
      </w:r>
    </w:p>
    <w:p w:rsidR="00307763" w:rsidRDefault="00307763" w:rsidP="00307763">
      <w:pPr>
        <w:pStyle w:val="ListParagraph"/>
        <w:numPr>
          <w:ilvl w:val="0"/>
          <w:numId w:val="11"/>
        </w:numPr>
        <w:rPr>
          <w:rFonts w:cstheme="minorHAnsi"/>
          <w:b/>
        </w:rPr>
      </w:pPr>
      <w:r w:rsidRPr="00AF459E">
        <w:rPr>
          <w:rFonts w:cstheme="minorHAnsi"/>
          <w:b/>
        </w:rPr>
        <w:t>Key remarks and observations</w:t>
      </w:r>
    </w:p>
    <w:p w:rsidR="00307763" w:rsidRPr="00AF459E" w:rsidRDefault="00307763" w:rsidP="00307763">
      <w:pPr>
        <w:pStyle w:val="ListParagraph"/>
        <w:rPr>
          <w:rFonts w:cstheme="minorHAnsi"/>
          <w:b/>
        </w:rPr>
      </w:pPr>
    </w:p>
    <w:p w:rsidR="00307763" w:rsidRPr="00AF459E" w:rsidRDefault="00307763" w:rsidP="00307763">
      <w:pPr>
        <w:pStyle w:val="ListParagraph"/>
        <w:numPr>
          <w:ilvl w:val="0"/>
          <w:numId w:val="10"/>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The government is fully financing all of its routine vaccines, with the exception of pentavalent</w:t>
      </w:r>
      <w:r w:rsidR="005643D5">
        <w:rPr>
          <w:rFonts w:asciiTheme="minorHAnsi" w:hAnsiTheme="minorHAnsi" w:cstheme="minorHAnsi"/>
          <w:sz w:val="22"/>
        </w:rPr>
        <w:t>,</w:t>
      </w:r>
      <w:r w:rsidRPr="00AF459E">
        <w:rPr>
          <w:rFonts w:asciiTheme="minorHAnsi" w:hAnsiTheme="minorHAnsi" w:cstheme="minorHAnsi"/>
          <w:sz w:val="22"/>
        </w:rPr>
        <w:t xml:space="preserve"> which is financed by both the government and GAVI.  The government is exceeding its co-financing obligations for pentavalent and should have no difficulty ramping up its share of costs to fully cover pentavalent vaccine by the time GAVI support ends in 2015.</w:t>
      </w:r>
    </w:p>
    <w:p w:rsidR="00307763" w:rsidRPr="00AF459E" w:rsidRDefault="00307763" w:rsidP="00307763">
      <w:pPr>
        <w:pStyle w:val="ListParagraph"/>
        <w:numPr>
          <w:ilvl w:val="0"/>
          <w:numId w:val="10"/>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 xml:space="preserve">With rapid economic growth, Mongolia is in the enviable position of being able to introduce additional vaccines, provided it can make a clear investment case within government for these new investments.  Cost-effectiveness analyses, which lay out the expected costs (against cost savings such as medical treatment avoided) and benefits of each vaccine, will help make the investment cases.  </w:t>
      </w:r>
    </w:p>
    <w:p w:rsidR="00307763" w:rsidRPr="00AF459E" w:rsidRDefault="00307763" w:rsidP="00307763">
      <w:pPr>
        <w:pStyle w:val="ListParagraph"/>
        <w:numPr>
          <w:ilvl w:val="0"/>
          <w:numId w:val="10"/>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 xml:space="preserve">The government is introducing HPV on a “trial” basis with donated vaccine and external donor (MCA) support for introduction and operational costs.  HepA is introduced but it not yet an official “routine” vaccine.  At this juncture, before any further vaccines are added to the routine schedule, government needs to carefully weight what its priorities should be for new vaccine introductions given the possibility of HepA, HPV, PCV, and Rotavirus vaccines introductions, with their differing costs and benefit profiles.  </w:t>
      </w:r>
    </w:p>
    <w:p w:rsidR="00307763" w:rsidRPr="00AF459E" w:rsidRDefault="00307763" w:rsidP="00307763">
      <w:pPr>
        <w:pStyle w:val="ListParagraph"/>
        <w:numPr>
          <w:ilvl w:val="0"/>
          <w:numId w:val="10"/>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 xml:space="preserve">Potential cost savings in product choice and presentation should be examined.  HepA is costing the government approximately $13 per dose.  If the government commits to its inclusion in the immunization schedule, could a quality product/presentation be procured at lower cost?  Unfortunately, there is no hepatitis A vaccine currently prequalified by </w:t>
      </w:r>
      <w:proofErr w:type="gramStart"/>
      <w:r w:rsidRPr="00AF459E">
        <w:rPr>
          <w:rFonts w:asciiTheme="minorHAnsi" w:hAnsiTheme="minorHAnsi" w:cstheme="minorHAnsi"/>
          <w:sz w:val="22"/>
        </w:rPr>
        <w:t>WHO</w:t>
      </w:r>
      <w:proofErr w:type="gramEnd"/>
      <w:r w:rsidRPr="00AF459E">
        <w:rPr>
          <w:rFonts w:asciiTheme="minorHAnsi" w:hAnsiTheme="minorHAnsi" w:cstheme="minorHAnsi"/>
          <w:sz w:val="22"/>
        </w:rPr>
        <w:t>.  The vaccine is not available through the UNICEF Supply Division.  Product/presentation choice could also be reviewed for pentavalent vaccine, as discussed elsewhere in the document.  Pneumococcal vaccine could be procured with the AMC subsidy given that Mongolia is a formerly GAVI-eligible country.  Also the government could also assess potential savings in non-routine vaccines such as Yellow Fever and Men A/C.</w:t>
      </w:r>
    </w:p>
    <w:p w:rsidR="00307763" w:rsidRPr="00AF459E" w:rsidRDefault="00307763" w:rsidP="00307763">
      <w:pPr>
        <w:pStyle w:val="ListParagraph"/>
        <w:numPr>
          <w:ilvl w:val="0"/>
          <w:numId w:val="10"/>
        </w:numPr>
        <w:spacing w:after="200" w:line="276" w:lineRule="auto"/>
        <w:contextualSpacing/>
        <w:rPr>
          <w:rFonts w:asciiTheme="minorHAnsi" w:hAnsiTheme="minorHAnsi" w:cstheme="minorHAnsi"/>
          <w:sz w:val="22"/>
        </w:rPr>
      </w:pPr>
      <w:r w:rsidRPr="00AF459E">
        <w:rPr>
          <w:rFonts w:asciiTheme="minorHAnsi" w:hAnsiTheme="minorHAnsi" w:cstheme="minorHAnsi"/>
          <w:sz w:val="22"/>
        </w:rPr>
        <w:t>Government spending on health is declining as a share of total government spending which a worrisome trend is given the importance of health to reaching the millennium development goals, improving overall welfare, and supporting economic development.  This should be raised with the Ministry of Finance.</w:t>
      </w:r>
    </w:p>
    <w:p w:rsidR="00307763" w:rsidRPr="00AF459E" w:rsidRDefault="00307763" w:rsidP="00307763">
      <w:pPr>
        <w:spacing w:after="120"/>
        <w:jc w:val="both"/>
        <w:rPr>
          <w:rFonts w:cstheme="minorHAnsi"/>
          <w:sz w:val="20"/>
        </w:rPr>
      </w:pPr>
    </w:p>
    <w:p w:rsidR="00753828" w:rsidRPr="005643D5" w:rsidRDefault="00753828" w:rsidP="005643D5">
      <w:pPr>
        <w:rPr>
          <w:rFonts w:cstheme="minorHAnsi"/>
          <w:sz w:val="20"/>
          <w:szCs w:val="20"/>
        </w:rPr>
      </w:pPr>
    </w:p>
    <w:sectPr w:rsidR="00753828" w:rsidRPr="005643D5" w:rsidSect="00F2295C">
      <w:footerReference w:type="default" r:id="rId13"/>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7763" w:rsidRDefault="00307763" w:rsidP="002F6EA6">
      <w:pPr>
        <w:spacing w:after="0" w:line="240" w:lineRule="auto"/>
      </w:pPr>
      <w:r>
        <w:separator/>
      </w:r>
    </w:p>
  </w:endnote>
  <w:endnote w:type="continuationSeparator" w:id="1">
    <w:p w:rsidR="00307763" w:rsidRDefault="00307763" w:rsidP="002F6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Bookman Old Style">
    <w:altName w:val="Geneva"/>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2890176"/>
      <w:docPartObj>
        <w:docPartGallery w:val="Page Numbers (Bottom of Page)"/>
        <w:docPartUnique/>
      </w:docPartObj>
    </w:sdtPr>
    <w:sdtContent>
      <w:p w:rsidR="00307763" w:rsidRDefault="00307763">
        <w:pPr>
          <w:pStyle w:val="Footer"/>
          <w:jc w:val="right"/>
        </w:pPr>
        <w:fldSimple w:instr=" PAGE   \* MERGEFORMAT ">
          <w:r w:rsidR="005643D5">
            <w:rPr>
              <w:noProof/>
              <w:sz w:val="16"/>
              <w:szCs w:val="16"/>
            </w:rPr>
            <w:t>10</w:t>
          </w:r>
        </w:fldSimple>
      </w:p>
    </w:sdtContent>
  </w:sdt>
  <w:p w:rsidR="00307763" w:rsidRDefault="0030776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7763" w:rsidRDefault="00307763" w:rsidP="002F6EA6">
      <w:pPr>
        <w:spacing w:after="0" w:line="240" w:lineRule="auto"/>
      </w:pPr>
      <w:r>
        <w:separator/>
      </w:r>
    </w:p>
  </w:footnote>
  <w:footnote w:type="continuationSeparator" w:id="1">
    <w:p w:rsidR="00307763" w:rsidRDefault="00307763" w:rsidP="002F6EA6">
      <w:pPr>
        <w:spacing w:after="0" w:line="240" w:lineRule="auto"/>
      </w:pPr>
      <w:r>
        <w:continuationSeparator/>
      </w:r>
    </w:p>
  </w:footnote>
  <w:footnote w:id="2">
    <w:p w:rsidR="00307763" w:rsidRDefault="00307763" w:rsidP="00307763">
      <w:pPr>
        <w:pStyle w:val="FootnoteText"/>
      </w:pPr>
      <w:r>
        <w:rPr>
          <w:rStyle w:val="FootnoteReference"/>
        </w:rPr>
        <w:footnoteRef/>
      </w:r>
      <w:r>
        <w:t xml:space="preserve"> Annual Report of the Immunization Fund Activities in 2011, December 25, 2011.</w:t>
      </w:r>
    </w:p>
  </w:footnote>
  <w:footnote w:id="3">
    <w:p w:rsidR="00307763" w:rsidRDefault="00307763" w:rsidP="00307763">
      <w:pPr>
        <w:pStyle w:val="FootnoteText"/>
      </w:pPr>
      <w:r>
        <w:rPr>
          <w:rStyle w:val="FootnoteReference"/>
        </w:rPr>
        <w:footnoteRef/>
      </w:r>
      <w:r>
        <w:t xml:space="preserve"> IMF, World Economic Outlook Database, April 2012.</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3B4538"/>
    <w:multiLevelType w:val="hybridMultilevel"/>
    <w:tmpl w:val="4DF8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7171"/>
    <w:multiLevelType w:val="hybridMultilevel"/>
    <w:tmpl w:val="83608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5DC19D3"/>
    <w:multiLevelType w:val="multilevel"/>
    <w:tmpl w:val="FA1CA8C2"/>
    <w:styleLink w:val="cMYPheading"/>
    <w:lvl w:ilvl="0">
      <w:start w:val="5"/>
      <w:numFmt w:val="decimal"/>
      <w:lvlText w:val="%1."/>
      <w:lvlJc w:val="left"/>
      <w:pPr>
        <w:tabs>
          <w:tab w:val="num" w:pos="454"/>
        </w:tabs>
        <w:ind w:left="454" w:hanging="454"/>
      </w:pPr>
      <w:rPr>
        <w:rFonts w:cs="Times New Roman"/>
      </w:rPr>
    </w:lvl>
    <w:lvl w:ilvl="1">
      <w:start w:val="1"/>
      <w:numFmt w:val="decimal"/>
      <w:pStyle w:val="Heading2"/>
      <w:lvlText w:val="%1.%2"/>
      <w:lvlJc w:val="left"/>
      <w:pPr>
        <w:tabs>
          <w:tab w:val="num" w:pos="624"/>
        </w:tabs>
        <w:ind w:left="624" w:hanging="624"/>
      </w:pPr>
      <w:rPr>
        <w:rFonts w:cs="Times New Roman"/>
      </w:rPr>
    </w:lvl>
    <w:lvl w:ilvl="2">
      <w:start w:val="1"/>
      <w:numFmt w:val="decimal"/>
      <w:lvlText w:val="%1.%2.%3"/>
      <w:lvlJc w:val="left"/>
      <w:pPr>
        <w:tabs>
          <w:tab w:val="num" w:pos="624"/>
        </w:tabs>
        <w:ind w:left="624" w:hanging="624"/>
      </w:pPr>
      <w:rPr>
        <w:rFonts w:cs="Times New Roman"/>
      </w:rPr>
    </w:lvl>
    <w:lvl w:ilvl="3">
      <w:start w:val="1"/>
      <w:numFmt w:val="decimal"/>
      <w:lvlText w:val="%1.%2.%3.%4"/>
      <w:lvlJc w:val="left"/>
      <w:pPr>
        <w:tabs>
          <w:tab w:val="num" w:pos="624"/>
        </w:tabs>
        <w:ind w:left="624" w:hanging="624"/>
      </w:pPr>
      <w:rPr>
        <w:rFonts w:cs="Times New Roman"/>
      </w:rPr>
    </w:lvl>
    <w:lvl w:ilvl="4">
      <w:start w:val="1"/>
      <w:numFmt w:val="lowerLetter"/>
      <w:lvlText w:val="(%5)"/>
      <w:lvlJc w:val="left"/>
      <w:pPr>
        <w:tabs>
          <w:tab w:val="num" w:pos="567"/>
        </w:tabs>
        <w:ind w:left="454" w:hanging="454"/>
      </w:pPr>
      <w:rPr>
        <w:rFonts w:cs="Times New Roman"/>
      </w:rPr>
    </w:lvl>
    <w:lvl w:ilvl="5">
      <w:start w:val="1"/>
      <w:numFmt w:val="lowerRoman"/>
      <w:lvlText w:val="(%6)"/>
      <w:lvlJc w:val="left"/>
      <w:pPr>
        <w:tabs>
          <w:tab w:val="num" w:pos="567"/>
        </w:tabs>
        <w:ind w:left="454" w:hanging="454"/>
      </w:pPr>
      <w:rPr>
        <w:rFonts w:cs="Times New Roman"/>
      </w:rPr>
    </w:lvl>
    <w:lvl w:ilvl="6">
      <w:start w:val="1"/>
      <w:numFmt w:val="decimal"/>
      <w:lvlText w:val="%7."/>
      <w:lvlJc w:val="left"/>
      <w:pPr>
        <w:tabs>
          <w:tab w:val="num" w:pos="567"/>
        </w:tabs>
        <w:ind w:left="454" w:hanging="454"/>
      </w:pPr>
      <w:rPr>
        <w:rFonts w:cs="Times New Roman"/>
      </w:rPr>
    </w:lvl>
    <w:lvl w:ilvl="7">
      <w:start w:val="1"/>
      <w:numFmt w:val="lowerLetter"/>
      <w:lvlText w:val="%8."/>
      <w:lvlJc w:val="left"/>
      <w:pPr>
        <w:tabs>
          <w:tab w:val="num" w:pos="567"/>
        </w:tabs>
        <w:ind w:left="454" w:hanging="454"/>
      </w:pPr>
      <w:rPr>
        <w:rFonts w:cs="Times New Roman"/>
      </w:rPr>
    </w:lvl>
    <w:lvl w:ilvl="8">
      <w:start w:val="1"/>
      <w:numFmt w:val="lowerRoman"/>
      <w:lvlText w:val="%9."/>
      <w:lvlJc w:val="left"/>
      <w:pPr>
        <w:tabs>
          <w:tab w:val="num" w:pos="567"/>
        </w:tabs>
        <w:ind w:left="454" w:hanging="454"/>
      </w:pPr>
      <w:rPr>
        <w:rFonts w:cs="Times New Roman"/>
      </w:rPr>
    </w:lvl>
  </w:abstractNum>
  <w:abstractNum w:abstractNumId="3">
    <w:nsid w:val="34542B12"/>
    <w:multiLevelType w:val="hybridMultilevel"/>
    <w:tmpl w:val="28DE434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Arial"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Arial"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Arial" w:hint="default"/>
      </w:rPr>
    </w:lvl>
    <w:lvl w:ilvl="8" w:tplc="04090005">
      <w:start w:val="1"/>
      <w:numFmt w:val="bullet"/>
      <w:lvlText w:val=""/>
      <w:lvlJc w:val="left"/>
      <w:pPr>
        <w:ind w:left="6584" w:hanging="360"/>
      </w:pPr>
      <w:rPr>
        <w:rFonts w:ascii="Wingdings" w:hAnsi="Wingdings" w:hint="default"/>
      </w:rPr>
    </w:lvl>
  </w:abstractNum>
  <w:abstractNum w:abstractNumId="4">
    <w:nsid w:val="34DB6D02"/>
    <w:multiLevelType w:val="hybridMultilevel"/>
    <w:tmpl w:val="5636E97E"/>
    <w:lvl w:ilvl="0" w:tplc="FFFFFFFF">
      <w:start w:val="1"/>
      <w:numFmt w:val="lowerLetter"/>
      <w:pStyle w:val="ListNumber"/>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5">
    <w:nsid w:val="354B3EFC"/>
    <w:multiLevelType w:val="hybridMultilevel"/>
    <w:tmpl w:val="B568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D1625"/>
    <w:multiLevelType w:val="hybridMultilevel"/>
    <w:tmpl w:val="72E076A0"/>
    <w:lvl w:ilvl="0" w:tplc="B20AA6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EC0979"/>
    <w:multiLevelType w:val="hybridMultilevel"/>
    <w:tmpl w:val="34B2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nsid w:val="55C41263"/>
    <w:multiLevelType w:val="hybridMultilevel"/>
    <w:tmpl w:val="11A2F082"/>
    <w:lvl w:ilvl="0" w:tplc="53CE84BA">
      <w:start w:val="1"/>
      <w:numFmt w:val="decimal"/>
      <w:pStyle w:val="Heading3"/>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pStyle w:val="Heading4"/>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BA2300B"/>
    <w:multiLevelType w:val="hybridMultilevel"/>
    <w:tmpl w:val="9DEC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0">
    <w:nsid w:val="5F712AE1"/>
    <w:multiLevelType w:val="hybridMultilevel"/>
    <w:tmpl w:val="49828D3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Arial"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Arial"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Arial" w:hint="default"/>
      </w:rPr>
    </w:lvl>
    <w:lvl w:ilvl="8" w:tplc="04090005">
      <w:start w:val="1"/>
      <w:numFmt w:val="bullet"/>
      <w:lvlText w:val=""/>
      <w:lvlJc w:val="left"/>
      <w:pPr>
        <w:ind w:left="6526" w:hanging="360"/>
      </w:pPr>
      <w:rPr>
        <w:rFonts w:ascii="Wingdings" w:hAnsi="Wingdings" w:hint="default"/>
      </w:rPr>
    </w:lvl>
  </w:abstractNum>
  <w:abstractNum w:abstractNumId="11">
    <w:nsid w:val="687D5CDF"/>
    <w:multiLevelType w:val="hybridMultilevel"/>
    <w:tmpl w:val="5B18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10"/>
  </w:num>
  <w:num w:numId="7">
    <w:abstractNumId w:val="6"/>
  </w:num>
  <w:num w:numId="8">
    <w:abstractNumId w:val="8"/>
  </w:num>
  <w:num w:numId="9">
    <w:abstractNumId w:val="1"/>
  </w:num>
  <w:num w:numId="10">
    <w:abstractNumId w:val="11"/>
  </w:num>
  <w:num w:numId="11">
    <w:abstractNumId w:val="5"/>
  </w:num>
  <w:num w:numId="12">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rsids>
    <w:rsidRoot w:val="009575AB"/>
    <w:rsid w:val="000357D5"/>
    <w:rsid w:val="00054017"/>
    <w:rsid w:val="00062AD6"/>
    <w:rsid w:val="000A18DE"/>
    <w:rsid w:val="00107AD6"/>
    <w:rsid w:val="001170DB"/>
    <w:rsid w:val="001362CD"/>
    <w:rsid w:val="00173A93"/>
    <w:rsid w:val="00175629"/>
    <w:rsid w:val="0018732D"/>
    <w:rsid w:val="001B0330"/>
    <w:rsid w:val="001B0E4E"/>
    <w:rsid w:val="001C453A"/>
    <w:rsid w:val="001C4700"/>
    <w:rsid w:val="001D6FBB"/>
    <w:rsid w:val="001E40FB"/>
    <w:rsid w:val="002104B7"/>
    <w:rsid w:val="002146C8"/>
    <w:rsid w:val="00224C55"/>
    <w:rsid w:val="002373BE"/>
    <w:rsid w:val="002930FB"/>
    <w:rsid w:val="002F5428"/>
    <w:rsid w:val="002F6EA6"/>
    <w:rsid w:val="00307763"/>
    <w:rsid w:val="00313AC9"/>
    <w:rsid w:val="0031465B"/>
    <w:rsid w:val="00337C75"/>
    <w:rsid w:val="00354AF8"/>
    <w:rsid w:val="00362A76"/>
    <w:rsid w:val="003713B6"/>
    <w:rsid w:val="0038600E"/>
    <w:rsid w:val="003911C0"/>
    <w:rsid w:val="003A2ACC"/>
    <w:rsid w:val="0041352B"/>
    <w:rsid w:val="0043435C"/>
    <w:rsid w:val="00453A81"/>
    <w:rsid w:val="00467E85"/>
    <w:rsid w:val="00475A28"/>
    <w:rsid w:val="004844CB"/>
    <w:rsid w:val="00491020"/>
    <w:rsid w:val="004B2447"/>
    <w:rsid w:val="004B3E3B"/>
    <w:rsid w:val="004C0C41"/>
    <w:rsid w:val="00514C3E"/>
    <w:rsid w:val="00536B05"/>
    <w:rsid w:val="00547DF3"/>
    <w:rsid w:val="005643D5"/>
    <w:rsid w:val="0056791D"/>
    <w:rsid w:val="00572685"/>
    <w:rsid w:val="005C6DF2"/>
    <w:rsid w:val="006A6F28"/>
    <w:rsid w:val="006D202B"/>
    <w:rsid w:val="006F14D6"/>
    <w:rsid w:val="006F2216"/>
    <w:rsid w:val="00716A29"/>
    <w:rsid w:val="00740F82"/>
    <w:rsid w:val="00753828"/>
    <w:rsid w:val="0077531C"/>
    <w:rsid w:val="007A7ACC"/>
    <w:rsid w:val="008164CE"/>
    <w:rsid w:val="00824765"/>
    <w:rsid w:val="00832A18"/>
    <w:rsid w:val="00836D70"/>
    <w:rsid w:val="008455C3"/>
    <w:rsid w:val="0087359B"/>
    <w:rsid w:val="00935C68"/>
    <w:rsid w:val="009575AB"/>
    <w:rsid w:val="00985D8D"/>
    <w:rsid w:val="009A7ED5"/>
    <w:rsid w:val="009C7527"/>
    <w:rsid w:val="009E253F"/>
    <w:rsid w:val="00A056A9"/>
    <w:rsid w:val="00A15E8C"/>
    <w:rsid w:val="00A62615"/>
    <w:rsid w:val="00A73AFF"/>
    <w:rsid w:val="00A9339D"/>
    <w:rsid w:val="00AA3E08"/>
    <w:rsid w:val="00AC3644"/>
    <w:rsid w:val="00AC6093"/>
    <w:rsid w:val="00AF7B7B"/>
    <w:rsid w:val="00B2113A"/>
    <w:rsid w:val="00B422EC"/>
    <w:rsid w:val="00B42882"/>
    <w:rsid w:val="00B86CDA"/>
    <w:rsid w:val="00B91023"/>
    <w:rsid w:val="00C55241"/>
    <w:rsid w:val="00CF2EDC"/>
    <w:rsid w:val="00D21BF2"/>
    <w:rsid w:val="00D64738"/>
    <w:rsid w:val="00D70790"/>
    <w:rsid w:val="00D820D7"/>
    <w:rsid w:val="00D97397"/>
    <w:rsid w:val="00DB39E5"/>
    <w:rsid w:val="00DC1DE9"/>
    <w:rsid w:val="00DD098A"/>
    <w:rsid w:val="00E44E85"/>
    <w:rsid w:val="00ED050A"/>
    <w:rsid w:val="00ED3002"/>
    <w:rsid w:val="00EF401F"/>
    <w:rsid w:val="00F221D5"/>
    <w:rsid w:val="00F222A9"/>
    <w:rsid w:val="00F2295C"/>
    <w:rsid w:val="00F46996"/>
    <w:rsid w:val="00F635F2"/>
    <w:rsid w:val="00F826A0"/>
    <w:rsid w:val="00FB558D"/>
  </w:rsids>
  <m:mathPr>
    <m:mathFont m:val="Bookman Old Styl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note text" w:uiPriority="99"/>
    <w:lsdException w:name="annotation text" w:uiPriority="99"/>
    <w:lsdException w:name="caption" w:qFormat="1"/>
    <w:lsdException w:name="footnote reference" w:uiPriority="99"/>
    <w:lsdException w:name="annotation reference" w:uiPriority="99"/>
    <w:lsdException w:name="annotation subject" w:uiPriority="99"/>
    <w:lsdException w:name="Balloon Text" w:uiPriority="99"/>
    <w:lsdException w:name="Table Grid" w:uiPriority="59"/>
    <w:lsdException w:name="List Paragraph" w:uiPriority="99" w:qFormat="1"/>
  </w:latentStyles>
  <w:style w:type="paragraph" w:default="1" w:styleId="Normal">
    <w:name w:val="Normal"/>
    <w:qFormat/>
    <w:rsid w:val="00F2295C"/>
  </w:style>
  <w:style w:type="paragraph" w:styleId="Heading2">
    <w:name w:val="heading 2"/>
    <w:basedOn w:val="Normal"/>
    <w:next w:val="BodyText"/>
    <w:link w:val="Heading2Char"/>
    <w:autoRedefine/>
    <w:semiHidden/>
    <w:unhideWhenUsed/>
    <w:qFormat/>
    <w:rsid w:val="002F6EA6"/>
    <w:pPr>
      <w:keepNext/>
      <w:keepLines/>
      <w:numPr>
        <w:ilvl w:val="1"/>
        <w:numId w:val="1"/>
      </w:numPr>
      <w:spacing w:before="360" w:after="120" w:line="240" w:lineRule="auto"/>
      <w:ind w:left="540"/>
      <w:outlineLvl w:val="1"/>
    </w:pPr>
    <w:rPr>
      <w:rFonts w:ascii="Times New Roman Bold" w:eastAsia="Times New Roman" w:hAnsi="Times New Roman Bold" w:cs="Times New Roman Bold"/>
      <w:b/>
      <w:bCs/>
      <w:sz w:val="28"/>
      <w:szCs w:val="28"/>
    </w:rPr>
  </w:style>
  <w:style w:type="paragraph" w:styleId="Heading3">
    <w:name w:val="heading 3"/>
    <w:basedOn w:val="Heading2"/>
    <w:next w:val="BodyText"/>
    <w:link w:val="Heading3Char"/>
    <w:autoRedefine/>
    <w:unhideWhenUsed/>
    <w:qFormat/>
    <w:rsid w:val="008455C3"/>
    <w:pPr>
      <w:numPr>
        <w:ilvl w:val="0"/>
        <w:numId w:val="8"/>
      </w:numPr>
      <w:spacing w:before="0" w:after="0" w:line="276" w:lineRule="auto"/>
      <w:jc w:val="both"/>
      <w:outlineLvl w:val="2"/>
    </w:pPr>
    <w:rPr>
      <w:rFonts w:asciiTheme="minorHAnsi" w:eastAsia="Calibri" w:hAnsiTheme="minorHAnsi" w:cstheme="minorHAnsi"/>
      <w:b w:val="0"/>
      <w:sz w:val="20"/>
      <w:szCs w:val="20"/>
    </w:rPr>
  </w:style>
  <w:style w:type="paragraph" w:styleId="Heading4">
    <w:name w:val="heading 4"/>
    <w:basedOn w:val="Heading3"/>
    <w:next w:val="BodyText"/>
    <w:link w:val="Heading4Char"/>
    <w:semiHidden/>
    <w:unhideWhenUsed/>
    <w:qFormat/>
    <w:rsid w:val="002F6EA6"/>
    <w:pPr>
      <w:numPr>
        <w:ilvl w:val="3"/>
      </w:numPr>
      <w:tabs>
        <w:tab w:val="num" w:pos="1401"/>
      </w:tabs>
      <w:spacing w:after="20"/>
      <w:ind w:left="908" w:hanging="227"/>
      <w:outlineLvl w:val="3"/>
    </w:pPr>
    <w:rPr>
      <w:color w:val="000099"/>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5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AB"/>
    <w:rPr>
      <w:rFonts w:ascii="Tahoma" w:hAnsi="Tahoma" w:cs="Tahoma"/>
      <w:sz w:val="16"/>
      <w:szCs w:val="16"/>
    </w:rPr>
  </w:style>
  <w:style w:type="paragraph" w:styleId="BodyText">
    <w:name w:val="Body Text"/>
    <w:basedOn w:val="Normal"/>
    <w:link w:val="BodyTextChar"/>
    <w:unhideWhenUsed/>
    <w:rsid w:val="002F6EA6"/>
    <w:pPr>
      <w:spacing w:before="180"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2F6EA6"/>
    <w:rPr>
      <w:rFonts w:ascii="Times New Roman" w:eastAsia="Times New Roman" w:hAnsi="Times New Roman" w:cs="Times New Roman"/>
    </w:rPr>
  </w:style>
  <w:style w:type="paragraph" w:customStyle="1" w:styleId="myHeading1">
    <w:name w:val="myHeading1"/>
    <w:basedOn w:val="Normal"/>
    <w:next w:val="BodyText"/>
    <w:rsid w:val="002F6EA6"/>
    <w:pPr>
      <w:keepNext/>
      <w:keepLines/>
      <w:spacing w:before="180" w:after="60" w:line="240" w:lineRule="auto"/>
    </w:pPr>
    <w:rPr>
      <w:rFonts w:ascii="Times New Roman" w:eastAsia="Times New Roman" w:hAnsi="Times New Roman" w:cs="Times New Roman"/>
      <w:b/>
      <w:bCs/>
      <w:color w:val="C00000"/>
    </w:rPr>
  </w:style>
  <w:style w:type="character" w:customStyle="1" w:styleId="BodyTextTChar">
    <w:name w:val="Body Text T Char"/>
    <w:basedOn w:val="DefaultParagraphFont"/>
    <w:link w:val="BodyTextT"/>
    <w:locked/>
    <w:rsid w:val="002F6EA6"/>
    <w:rPr>
      <w:rFonts w:ascii="Tahoma" w:hAnsi="Tahoma" w:cs="Tahoma"/>
      <w:sz w:val="16"/>
      <w:szCs w:val="16"/>
    </w:rPr>
  </w:style>
  <w:style w:type="paragraph" w:customStyle="1" w:styleId="BodyTextT">
    <w:name w:val="Body Text T"/>
    <w:basedOn w:val="Normal"/>
    <w:link w:val="BodyTextTChar"/>
    <w:rsid w:val="002F6EA6"/>
    <w:pPr>
      <w:spacing w:before="20" w:after="20" w:line="240" w:lineRule="auto"/>
    </w:pPr>
    <w:rPr>
      <w:rFonts w:ascii="Tahoma" w:hAnsi="Tahoma" w:cs="Tahoma"/>
      <w:sz w:val="16"/>
      <w:szCs w:val="16"/>
    </w:rPr>
  </w:style>
  <w:style w:type="paragraph" w:customStyle="1" w:styleId="ListNumbBullet">
    <w:name w:val="List Numb_Bullet"/>
    <w:basedOn w:val="ListBullet"/>
    <w:rsid w:val="002F6EA6"/>
    <w:pPr>
      <w:keepLines/>
      <w:tabs>
        <w:tab w:val="num" w:pos="465"/>
      </w:tabs>
      <w:spacing w:after="60" w:line="240" w:lineRule="auto"/>
      <w:contextualSpacing w:val="0"/>
      <w:jc w:val="both"/>
    </w:pPr>
    <w:rPr>
      <w:rFonts w:ascii="Bookman Old Style" w:eastAsia="Calibri" w:hAnsi="Bookman Old Style" w:cs="Bookman Old Style"/>
    </w:rPr>
  </w:style>
  <w:style w:type="paragraph" w:customStyle="1" w:styleId="myHeading0">
    <w:name w:val="myHeading0"/>
    <w:basedOn w:val="BodyText"/>
    <w:rsid w:val="002F6EA6"/>
    <w:pPr>
      <w:keepNext/>
      <w:spacing w:before="240" w:after="60" w:line="300" w:lineRule="exact"/>
      <w:jc w:val="both"/>
    </w:pPr>
    <w:rPr>
      <w:rFonts w:ascii="Bookman Old Style" w:eastAsia="Calibri" w:hAnsi="Bookman Old Style" w:cs="Bookman Old Style"/>
      <w:b/>
      <w:bCs/>
      <w:sz w:val="24"/>
      <w:szCs w:val="24"/>
    </w:rPr>
  </w:style>
  <w:style w:type="paragraph" w:styleId="ListBullet">
    <w:name w:val="List Bullet"/>
    <w:basedOn w:val="Normal"/>
    <w:uiPriority w:val="99"/>
    <w:semiHidden/>
    <w:unhideWhenUsed/>
    <w:rsid w:val="002F6EA6"/>
    <w:pPr>
      <w:tabs>
        <w:tab w:val="num" w:pos="397"/>
      </w:tabs>
      <w:ind w:left="397" w:hanging="397"/>
      <w:contextualSpacing/>
    </w:pPr>
  </w:style>
  <w:style w:type="character" w:customStyle="1" w:styleId="Heading2Char">
    <w:name w:val="Heading 2 Char"/>
    <w:basedOn w:val="DefaultParagraphFont"/>
    <w:link w:val="Heading2"/>
    <w:semiHidden/>
    <w:rsid w:val="002F6EA6"/>
    <w:rPr>
      <w:rFonts w:ascii="Times New Roman Bold" w:eastAsia="Times New Roman" w:hAnsi="Times New Roman Bold" w:cs="Times New Roman Bold"/>
      <w:b/>
      <w:bCs/>
      <w:sz w:val="28"/>
      <w:szCs w:val="28"/>
    </w:rPr>
  </w:style>
  <w:style w:type="character" w:customStyle="1" w:styleId="Heading3Char">
    <w:name w:val="Heading 3 Char"/>
    <w:basedOn w:val="DefaultParagraphFont"/>
    <w:link w:val="Heading3"/>
    <w:rsid w:val="008455C3"/>
    <w:rPr>
      <w:rFonts w:eastAsia="Calibri" w:cstheme="minorHAnsi"/>
      <w:bCs/>
      <w:sz w:val="20"/>
      <w:szCs w:val="20"/>
    </w:rPr>
  </w:style>
  <w:style w:type="character" w:customStyle="1" w:styleId="Heading4Char">
    <w:name w:val="Heading 4 Char"/>
    <w:basedOn w:val="DefaultParagraphFont"/>
    <w:link w:val="Heading4"/>
    <w:semiHidden/>
    <w:rsid w:val="002F6EA6"/>
    <w:rPr>
      <w:rFonts w:eastAsia="Calibri" w:cstheme="minorHAnsi"/>
      <w:bCs/>
      <w:color w:val="000099"/>
      <w:sz w:val="20"/>
      <w:szCs w:val="20"/>
    </w:rPr>
  </w:style>
  <w:style w:type="character" w:styleId="Hyperlink">
    <w:name w:val="Hyperlink"/>
    <w:basedOn w:val="DefaultParagraphFont"/>
    <w:semiHidden/>
    <w:unhideWhenUsed/>
    <w:rsid w:val="002F6EA6"/>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2F6EA6"/>
    <w:pPr>
      <w:suppressLineNumbers/>
      <w:tabs>
        <w:tab w:val="left" w:pos="227"/>
      </w:tabs>
      <w:spacing w:after="0" w:line="240" w:lineRule="auto"/>
      <w:ind w:left="227" w:hanging="227"/>
      <w:jc w:val="both"/>
    </w:pPr>
    <w:rPr>
      <w:rFonts w:ascii="Bookman Old Style" w:eastAsia="Calibri" w:hAnsi="Bookman Old Style" w:cs="Bookman Old Style"/>
      <w:sz w:val="18"/>
      <w:szCs w:val="18"/>
    </w:rPr>
  </w:style>
  <w:style w:type="character" w:customStyle="1" w:styleId="FootnoteTextChar">
    <w:name w:val="Footnote Text Char"/>
    <w:basedOn w:val="DefaultParagraphFont"/>
    <w:link w:val="FootnoteText"/>
    <w:uiPriority w:val="99"/>
    <w:rsid w:val="002F6EA6"/>
    <w:rPr>
      <w:rFonts w:ascii="Bookman Old Style" w:eastAsia="Calibri" w:hAnsi="Bookman Old Style" w:cs="Bookman Old Style"/>
      <w:sz w:val="18"/>
      <w:szCs w:val="18"/>
    </w:rPr>
  </w:style>
  <w:style w:type="paragraph" w:styleId="Caption">
    <w:name w:val="caption"/>
    <w:basedOn w:val="Normal"/>
    <w:next w:val="Normal"/>
    <w:semiHidden/>
    <w:unhideWhenUsed/>
    <w:qFormat/>
    <w:rsid w:val="002F6EA6"/>
    <w:pPr>
      <w:keepNext/>
      <w:tabs>
        <w:tab w:val="left" w:pos="851"/>
      </w:tabs>
      <w:spacing w:before="120" w:after="60" w:line="240" w:lineRule="auto"/>
      <w:ind w:left="851" w:hanging="851"/>
    </w:pPr>
    <w:rPr>
      <w:rFonts w:ascii="Times New Roman" w:eastAsia="Times New Roman" w:hAnsi="Times New Roman" w:cs="Times New Roman"/>
      <w:b/>
      <w:bCs/>
      <w:color w:val="0070C0"/>
      <w:sz w:val="18"/>
      <w:szCs w:val="18"/>
    </w:rPr>
  </w:style>
  <w:style w:type="paragraph" w:customStyle="1" w:styleId="mySource">
    <w:name w:val="mySource"/>
    <w:basedOn w:val="BodyText"/>
    <w:next w:val="BodyText"/>
    <w:autoRedefine/>
    <w:rsid w:val="003A2ACC"/>
    <w:pPr>
      <w:keepLines/>
      <w:tabs>
        <w:tab w:val="left" w:pos="1134"/>
      </w:tabs>
      <w:spacing w:before="0" w:after="0" w:line="240" w:lineRule="atLeast"/>
      <w:ind w:left="1134" w:hanging="1134"/>
      <w:jc w:val="both"/>
    </w:pPr>
    <w:rPr>
      <w:rFonts w:asciiTheme="minorHAnsi" w:eastAsia="Calibri" w:hAnsiTheme="minorHAnsi" w:cstheme="minorHAnsi"/>
      <w:i/>
      <w:iCs/>
      <w:noProof/>
      <w:kern w:val="20"/>
      <w:sz w:val="20"/>
      <w:szCs w:val="20"/>
    </w:rPr>
  </w:style>
  <w:style w:type="character" w:styleId="FootnoteReference">
    <w:name w:val="footnote reference"/>
    <w:basedOn w:val="DefaultParagraphFont"/>
    <w:uiPriority w:val="99"/>
    <w:semiHidden/>
    <w:unhideWhenUsed/>
    <w:rsid w:val="002F6EA6"/>
    <w:rPr>
      <w:rFonts w:ascii="Times New Roman" w:hAnsi="Times New Roman" w:cs="Times New Roman" w:hint="default"/>
      <w:vertAlign w:val="superscript"/>
    </w:rPr>
  </w:style>
  <w:style w:type="numbering" w:customStyle="1" w:styleId="cMYPheading">
    <w:name w:val="cMYP_heading"/>
    <w:rsid w:val="002F6EA6"/>
    <w:pPr>
      <w:numPr>
        <w:numId w:val="1"/>
      </w:numPr>
    </w:pPr>
  </w:style>
  <w:style w:type="paragraph" w:styleId="ListParagraph">
    <w:name w:val="List Paragraph"/>
    <w:basedOn w:val="Normal"/>
    <w:uiPriority w:val="99"/>
    <w:qFormat/>
    <w:rsid w:val="002F6EA6"/>
    <w:pPr>
      <w:spacing w:after="60" w:line="240" w:lineRule="auto"/>
      <w:ind w:left="720"/>
      <w:jc w:val="both"/>
    </w:pPr>
    <w:rPr>
      <w:rFonts w:ascii="Calibri" w:eastAsia="Times New Roman" w:hAnsi="Calibri" w:cs="Calibri"/>
      <w:sz w:val="24"/>
      <w:szCs w:val="24"/>
      <w:lang w:val="en-GB"/>
    </w:rPr>
  </w:style>
  <w:style w:type="paragraph" w:customStyle="1" w:styleId="ListMultiN">
    <w:name w:val="List MultiN"/>
    <w:basedOn w:val="ListNumber"/>
    <w:rsid w:val="00AF7B7B"/>
    <w:pPr>
      <w:numPr>
        <w:numId w:val="0"/>
      </w:numPr>
      <w:tabs>
        <w:tab w:val="num" w:pos="481"/>
      </w:tabs>
      <w:spacing w:after="60" w:line="240" w:lineRule="auto"/>
      <w:ind w:left="481" w:hanging="481"/>
      <w:contextualSpacing w:val="0"/>
      <w:jc w:val="both"/>
    </w:pPr>
    <w:rPr>
      <w:rFonts w:ascii="Bookman Old Style" w:eastAsia="Calibri" w:hAnsi="Bookman Old Style" w:cs="Bookman Old Style"/>
    </w:rPr>
  </w:style>
  <w:style w:type="paragraph" w:styleId="ListNumber">
    <w:name w:val="List Number"/>
    <w:basedOn w:val="Normal"/>
    <w:uiPriority w:val="99"/>
    <w:semiHidden/>
    <w:unhideWhenUsed/>
    <w:rsid w:val="00AF7B7B"/>
    <w:pPr>
      <w:numPr>
        <w:numId w:val="2"/>
      </w:numPr>
      <w:contextualSpacing/>
    </w:pPr>
  </w:style>
  <w:style w:type="paragraph" w:customStyle="1" w:styleId="Pa5">
    <w:name w:val="Pa5"/>
    <w:basedOn w:val="Normal"/>
    <w:next w:val="Normal"/>
    <w:uiPriority w:val="99"/>
    <w:rsid w:val="00ED050A"/>
    <w:pPr>
      <w:autoSpaceDE w:val="0"/>
      <w:autoSpaceDN w:val="0"/>
      <w:adjustRightInd w:val="0"/>
      <w:spacing w:after="0" w:line="241" w:lineRule="atLeast"/>
    </w:pPr>
    <w:rPr>
      <w:rFonts w:ascii="Myriad Pro" w:hAnsi="Myriad Pro"/>
      <w:sz w:val="24"/>
      <w:szCs w:val="24"/>
    </w:rPr>
  </w:style>
  <w:style w:type="paragraph" w:customStyle="1" w:styleId="Pa1">
    <w:name w:val="Pa1"/>
    <w:basedOn w:val="Normal"/>
    <w:next w:val="Normal"/>
    <w:uiPriority w:val="99"/>
    <w:rsid w:val="00ED050A"/>
    <w:pPr>
      <w:autoSpaceDE w:val="0"/>
      <w:autoSpaceDN w:val="0"/>
      <w:adjustRightInd w:val="0"/>
      <w:spacing w:after="0" w:line="211" w:lineRule="atLeast"/>
    </w:pPr>
    <w:rPr>
      <w:rFonts w:ascii="Myriad Pro" w:hAnsi="Myriad Pro"/>
      <w:sz w:val="24"/>
      <w:szCs w:val="24"/>
    </w:rPr>
  </w:style>
  <w:style w:type="paragraph" w:styleId="CommentText">
    <w:name w:val="annotation text"/>
    <w:basedOn w:val="Normal"/>
    <w:link w:val="CommentTextChar"/>
    <w:uiPriority w:val="99"/>
    <w:semiHidden/>
    <w:unhideWhenUsed/>
    <w:rsid w:val="00753828"/>
    <w:pPr>
      <w:spacing w:line="240" w:lineRule="auto"/>
    </w:pPr>
    <w:rPr>
      <w:sz w:val="20"/>
      <w:szCs w:val="20"/>
    </w:rPr>
  </w:style>
  <w:style w:type="character" w:customStyle="1" w:styleId="CommentTextChar">
    <w:name w:val="Comment Text Char"/>
    <w:basedOn w:val="DefaultParagraphFont"/>
    <w:link w:val="CommentText"/>
    <w:uiPriority w:val="99"/>
    <w:semiHidden/>
    <w:rsid w:val="00753828"/>
    <w:rPr>
      <w:sz w:val="20"/>
      <w:szCs w:val="20"/>
    </w:rPr>
  </w:style>
  <w:style w:type="character" w:styleId="CommentReference">
    <w:name w:val="annotation reference"/>
    <w:basedOn w:val="DefaultParagraphFont"/>
    <w:uiPriority w:val="99"/>
    <w:semiHidden/>
    <w:unhideWhenUsed/>
    <w:rsid w:val="00753828"/>
    <w:rPr>
      <w:sz w:val="16"/>
      <w:szCs w:val="16"/>
    </w:rPr>
  </w:style>
  <w:style w:type="table" w:styleId="TableGrid">
    <w:name w:val="Table Grid"/>
    <w:basedOn w:val="TableNormal"/>
    <w:uiPriority w:val="59"/>
    <w:rsid w:val="00753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B558D"/>
    <w:rPr>
      <w:b/>
      <w:bCs/>
    </w:rPr>
  </w:style>
  <w:style w:type="character" w:customStyle="1" w:styleId="CommentSubjectChar">
    <w:name w:val="Comment Subject Char"/>
    <w:basedOn w:val="CommentTextChar"/>
    <w:link w:val="CommentSubject"/>
    <w:uiPriority w:val="99"/>
    <w:semiHidden/>
    <w:rsid w:val="00FB558D"/>
    <w:rPr>
      <w:b/>
      <w:bCs/>
      <w:sz w:val="20"/>
      <w:szCs w:val="20"/>
    </w:rPr>
  </w:style>
  <w:style w:type="paragraph" w:styleId="Header">
    <w:name w:val="header"/>
    <w:basedOn w:val="Normal"/>
    <w:link w:val="HeaderChar"/>
    <w:uiPriority w:val="99"/>
    <w:semiHidden/>
    <w:unhideWhenUsed/>
    <w:rsid w:val="00A933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39D"/>
  </w:style>
  <w:style w:type="paragraph" w:styleId="Footer">
    <w:name w:val="footer"/>
    <w:basedOn w:val="Normal"/>
    <w:link w:val="FooterChar"/>
    <w:uiPriority w:val="99"/>
    <w:unhideWhenUsed/>
    <w:rsid w:val="00A93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5C"/>
  </w:style>
  <w:style w:type="paragraph" w:styleId="Heading2">
    <w:name w:val="heading 2"/>
    <w:basedOn w:val="Normal"/>
    <w:next w:val="BodyText"/>
    <w:link w:val="Heading2Char"/>
    <w:autoRedefine/>
    <w:semiHidden/>
    <w:unhideWhenUsed/>
    <w:qFormat/>
    <w:rsid w:val="002F6EA6"/>
    <w:pPr>
      <w:keepNext/>
      <w:keepLines/>
      <w:numPr>
        <w:ilvl w:val="1"/>
        <w:numId w:val="2"/>
      </w:numPr>
      <w:spacing w:before="360" w:after="120" w:line="240" w:lineRule="auto"/>
      <w:ind w:left="540" w:hanging="360"/>
      <w:outlineLvl w:val="1"/>
    </w:pPr>
    <w:rPr>
      <w:rFonts w:ascii="Times New Roman Bold" w:eastAsia="Times New Roman" w:hAnsi="Times New Roman Bold" w:cs="Times New Roman Bold"/>
      <w:b/>
      <w:bCs/>
      <w:sz w:val="28"/>
      <w:szCs w:val="28"/>
    </w:rPr>
  </w:style>
  <w:style w:type="paragraph" w:styleId="Heading3">
    <w:name w:val="heading 3"/>
    <w:basedOn w:val="Heading2"/>
    <w:next w:val="BodyText"/>
    <w:link w:val="Heading3Char"/>
    <w:autoRedefine/>
    <w:unhideWhenUsed/>
    <w:qFormat/>
    <w:rsid w:val="008455C3"/>
    <w:pPr>
      <w:numPr>
        <w:ilvl w:val="0"/>
        <w:numId w:val="48"/>
      </w:numPr>
      <w:spacing w:before="0" w:after="0" w:line="276" w:lineRule="auto"/>
      <w:jc w:val="both"/>
      <w:outlineLvl w:val="2"/>
    </w:pPr>
    <w:rPr>
      <w:rFonts w:asciiTheme="minorHAnsi" w:eastAsia="Calibri" w:hAnsiTheme="minorHAnsi" w:cstheme="minorHAnsi"/>
      <w:b w:val="0"/>
      <w:sz w:val="20"/>
      <w:szCs w:val="20"/>
    </w:rPr>
  </w:style>
  <w:style w:type="paragraph" w:styleId="Heading4">
    <w:name w:val="heading 4"/>
    <w:basedOn w:val="Heading3"/>
    <w:next w:val="BodyText"/>
    <w:link w:val="Heading4Char"/>
    <w:semiHidden/>
    <w:unhideWhenUsed/>
    <w:qFormat/>
    <w:rsid w:val="002F6EA6"/>
    <w:pPr>
      <w:numPr>
        <w:ilvl w:val="3"/>
      </w:numPr>
      <w:tabs>
        <w:tab w:val="num" w:pos="1401"/>
      </w:tabs>
      <w:spacing w:after="20"/>
      <w:ind w:left="908" w:hanging="227"/>
      <w:outlineLvl w:val="3"/>
    </w:pPr>
    <w:rPr>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AB"/>
    <w:rPr>
      <w:rFonts w:ascii="Tahoma" w:hAnsi="Tahoma" w:cs="Tahoma"/>
      <w:sz w:val="16"/>
      <w:szCs w:val="16"/>
    </w:rPr>
  </w:style>
  <w:style w:type="paragraph" w:styleId="BodyText">
    <w:name w:val="Body Text"/>
    <w:basedOn w:val="Normal"/>
    <w:link w:val="BodyTextChar"/>
    <w:unhideWhenUsed/>
    <w:rsid w:val="002F6EA6"/>
    <w:pPr>
      <w:spacing w:before="180"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2F6EA6"/>
    <w:rPr>
      <w:rFonts w:ascii="Times New Roman" w:eastAsia="Times New Roman" w:hAnsi="Times New Roman" w:cs="Times New Roman"/>
    </w:rPr>
  </w:style>
  <w:style w:type="paragraph" w:customStyle="1" w:styleId="myHeading1">
    <w:name w:val="myHeading1"/>
    <w:basedOn w:val="Normal"/>
    <w:next w:val="BodyText"/>
    <w:rsid w:val="002F6EA6"/>
    <w:pPr>
      <w:keepNext/>
      <w:keepLines/>
      <w:spacing w:before="180" w:after="60" w:line="240" w:lineRule="auto"/>
    </w:pPr>
    <w:rPr>
      <w:rFonts w:ascii="Times New Roman" w:eastAsia="Times New Roman" w:hAnsi="Times New Roman" w:cs="Times New Roman"/>
      <w:b/>
      <w:bCs/>
      <w:color w:val="C00000"/>
    </w:rPr>
  </w:style>
  <w:style w:type="character" w:customStyle="1" w:styleId="BodyTextTChar">
    <w:name w:val="Body Text T Char"/>
    <w:basedOn w:val="DefaultParagraphFont"/>
    <w:link w:val="BodyTextT"/>
    <w:locked/>
    <w:rsid w:val="002F6EA6"/>
    <w:rPr>
      <w:rFonts w:ascii="Tahoma" w:hAnsi="Tahoma" w:cs="Tahoma"/>
      <w:sz w:val="16"/>
      <w:szCs w:val="16"/>
    </w:rPr>
  </w:style>
  <w:style w:type="paragraph" w:customStyle="1" w:styleId="BodyTextT">
    <w:name w:val="Body Text T"/>
    <w:basedOn w:val="Normal"/>
    <w:link w:val="BodyTextTChar"/>
    <w:rsid w:val="002F6EA6"/>
    <w:pPr>
      <w:spacing w:before="20" w:after="20" w:line="240" w:lineRule="auto"/>
    </w:pPr>
    <w:rPr>
      <w:rFonts w:ascii="Tahoma" w:hAnsi="Tahoma" w:cs="Tahoma"/>
      <w:sz w:val="16"/>
      <w:szCs w:val="16"/>
    </w:rPr>
  </w:style>
  <w:style w:type="paragraph" w:customStyle="1" w:styleId="ListNumbBullet">
    <w:name w:val="List Numb_Bullet"/>
    <w:basedOn w:val="ListBullet"/>
    <w:rsid w:val="002F6EA6"/>
    <w:pPr>
      <w:keepLines/>
      <w:tabs>
        <w:tab w:val="num" w:pos="465"/>
      </w:tabs>
      <w:spacing w:after="60" w:line="240" w:lineRule="auto"/>
      <w:contextualSpacing w:val="0"/>
      <w:jc w:val="both"/>
    </w:pPr>
    <w:rPr>
      <w:rFonts w:ascii="Bookman Old Style" w:eastAsia="Calibri" w:hAnsi="Bookman Old Style" w:cs="Bookman Old Style"/>
    </w:rPr>
  </w:style>
  <w:style w:type="paragraph" w:customStyle="1" w:styleId="myHeading0">
    <w:name w:val="myHeading0"/>
    <w:basedOn w:val="BodyText"/>
    <w:rsid w:val="002F6EA6"/>
    <w:pPr>
      <w:keepNext/>
      <w:spacing w:before="240" w:after="60" w:line="300" w:lineRule="exact"/>
      <w:jc w:val="both"/>
    </w:pPr>
    <w:rPr>
      <w:rFonts w:ascii="Bookman Old Style" w:eastAsia="Calibri" w:hAnsi="Bookman Old Style" w:cs="Bookman Old Style"/>
      <w:b/>
      <w:bCs/>
      <w:sz w:val="24"/>
      <w:szCs w:val="24"/>
    </w:rPr>
  </w:style>
  <w:style w:type="paragraph" w:styleId="ListBullet">
    <w:name w:val="List Bullet"/>
    <w:basedOn w:val="Normal"/>
    <w:uiPriority w:val="99"/>
    <w:semiHidden/>
    <w:unhideWhenUsed/>
    <w:rsid w:val="002F6EA6"/>
    <w:pPr>
      <w:tabs>
        <w:tab w:val="num" w:pos="397"/>
      </w:tabs>
      <w:ind w:left="397" w:hanging="397"/>
      <w:contextualSpacing/>
    </w:pPr>
  </w:style>
  <w:style w:type="character" w:customStyle="1" w:styleId="Heading2Char">
    <w:name w:val="Heading 2 Char"/>
    <w:basedOn w:val="DefaultParagraphFont"/>
    <w:link w:val="Heading2"/>
    <w:semiHidden/>
    <w:rsid w:val="002F6EA6"/>
    <w:rPr>
      <w:rFonts w:ascii="Times New Roman Bold" w:eastAsia="Times New Roman" w:hAnsi="Times New Roman Bold" w:cs="Times New Roman Bold"/>
      <w:b/>
      <w:bCs/>
      <w:sz w:val="28"/>
      <w:szCs w:val="28"/>
    </w:rPr>
  </w:style>
  <w:style w:type="character" w:customStyle="1" w:styleId="Heading3Char">
    <w:name w:val="Heading 3 Char"/>
    <w:basedOn w:val="DefaultParagraphFont"/>
    <w:link w:val="Heading3"/>
    <w:rsid w:val="008455C3"/>
    <w:rPr>
      <w:rFonts w:eastAsia="Calibri" w:cstheme="minorHAnsi"/>
      <w:bCs/>
      <w:sz w:val="20"/>
      <w:szCs w:val="20"/>
    </w:rPr>
  </w:style>
  <w:style w:type="character" w:customStyle="1" w:styleId="Heading4Char">
    <w:name w:val="Heading 4 Char"/>
    <w:basedOn w:val="DefaultParagraphFont"/>
    <w:link w:val="Heading4"/>
    <w:semiHidden/>
    <w:rsid w:val="002F6EA6"/>
    <w:rPr>
      <w:rFonts w:eastAsia="Calibri" w:cstheme="minorHAnsi"/>
      <w:b/>
      <w:bCs/>
      <w:color w:val="000099"/>
      <w:sz w:val="24"/>
      <w:szCs w:val="24"/>
    </w:rPr>
  </w:style>
  <w:style w:type="character" w:styleId="Hyperlink">
    <w:name w:val="Hyperlink"/>
    <w:basedOn w:val="DefaultParagraphFont"/>
    <w:semiHidden/>
    <w:unhideWhenUsed/>
    <w:rsid w:val="002F6EA6"/>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2F6EA6"/>
    <w:pPr>
      <w:suppressLineNumbers/>
      <w:tabs>
        <w:tab w:val="left" w:pos="227"/>
      </w:tabs>
      <w:spacing w:after="0" w:line="240" w:lineRule="auto"/>
      <w:ind w:left="227" w:hanging="227"/>
      <w:jc w:val="both"/>
    </w:pPr>
    <w:rPr>
      <w:rFonts w:ascii="Bookman Old Style" w:eastAsia="Calibri" w:hAnsi="Bookman Old Style" w:cs="Bookman Old Style"/>
      <w:sz w:val="18"/>
      <w:szCs w:val="18"/>
    </w:rPr>
  </w:style>
  <w:style w:type="character" w:customStyle="1" w:styleId="FootnoteTextChar">
    <w:name w:val="Footnote Text Char"/>
    <w:basedOn w:val="DefaultParagraphFont"/>
    <w:link w:val="FootnoteText"/>
    <w:uiPriority w:val="99"/>
    <w:semiHidden/>
    <w:rsid w:val="002F6EA6"/>
    <w:rPr>
      <w:rFonts w:ascii="Bookman Old Style" w:eastAsia="Calibri" w:hAnsi="Bookman Old Style" w:cs="Bookman Old Style"/>
      <w:sz w:val="18"/>
      <w:szCs w:val="18"/>
    </w:rPr>
  </w:style>
  <w:style w:type="paragraph" w:styleId="Caption">
    <w:name w:val="caption"/>
    <w:basedOn w:val="Normal"/>
    <w:next w:val="Normal"/>
    <w:semiHidden/>
    <w:unhideWhenUsed/>
    <w:qFormat/>
    <w:rsid w:val="002F6EA6"/>
    <w:pPr>
      <w:keepNext/>
      <w:tabs>
        <w:tab w:val="left" w:pos="851"/>
      </w:tabs>
      <w:spacing w:before="120" w:after="60" w:line="240" w:lineRule="auto"/>
      <w:ind w:left="851" w:hanging="851"/>
    </w:pPr>
    <w:rPr>
      <w:rFonts w:ascii="Times New Roman" w:eastAsia="Times New Roman" w:hAnsi="Times New Roman" w:cs="Times New Roman"/>
      <w:b/>
      <w:bCs/>
      <w:color w:val="0070C0"/>
      <w:sz w:val="18"/>
      <w:szCs w:val="18"/>
    </w:rPr>
  </w:style>
  <w:style w:type="paragraph" w:customStyle="1" w:styleId="mySource">
    <w:name w:val="mySource"/>
    <w:basedOn w:val="BodyText"/>
    <w:next w:val="BodyText"/>
    <w:autoRedefine/>
    <w:rsid w:val="003A2ACC"/>
    <w:pPr>
      <w:keepLines/>
      <w:tabs>
        <w:tab w:val="left" w:pos="1134"/>
      </w:tabs>
      <w:spacing w:before="0" w:after="0" w:line="240" w:lineRule="atLeast"/>
      <w:ind w:left="1134" w:hanging="1134"/>
      <w:jc w:val="both"/>
    </w:pPr>
    <w:rPr>
      <w:rFonts w:asciiTheme="minorHAnsi" w:eastAsia="Calibri" w:hAnsiTheme="minorHAnsi" w:cstheme="minorHAnsi"/>
      <w:i/>
      <w:iCs/>
      <w:noProof/>
      <w:kern w:val="20"/>
      <w:sz w:val="20"/>
      <w:szCs w:val="20"/>
    </w:rPr>
  </w:style>
  <w:style w:type="character" w:styleId="FootnoteReference">
    <w:name w:val="footnote reference"/>
    <w:basedOn w:val="DefaultParagraphFont"/>
    <w:uiPriority w:val="99"/>
    <w:semiHidden/>
    <w:unhideWhenUsed/>
    <w:rsid w:val="002F6EA6"/>
    <w:rPr>
      <w:rFonts w:ascii="Times New Roman" w:hAnsi="Times New Roman" w:cs="Times New Roman" w:hint="default"/>
      <w:vertAlign w:val="superscript"/>
    </w:rPr>
  </w:style>
  <w:style w:type="numbering" w:customStyle="1" w:styleId="cMYPheading">
    <w:name w:val="cMYP_heading"/>
    <w:rsid w:val="002F6EA6"/>
    <w:pPr>
      <w:numPr>
        <w:numId w:val="2"/>
      </w:numPr>
    </w:pPr>
  </w:style>
  <w:style w:type="paragraph" w:styleId="ListParagraph">
    <w:name w:val="List Paragraph"/>
    <w:basedOn w:val="Normal"/>
    <w:uiPriority w:val="34"/>
    <w:qFormat/>
    <w:rsid w:val="002F6EA6"/>
    <w:pPr>
      <w:spacing w:after="60" w:line="240" w:lineRule="auto"/>
      <w:ind w:left="720"/>
      <w:jc w:val="both"/>
    </w:pPr>
    <w:rPr>
      <w:rFonts w:ascii="Calibri" w:eastAsia="Times New Roman" w:hAnsi="Calibri" w:cs="Calibri"/>
      <w:sz w:val="24"/>
      <w:szCs w:val="24"/>
      <w:lang w:val="en-GB"/>
    </w:rPr>
  </w:style>
  <w:style w:type="paragraph" w:customStyle="1" w:styleId="ListMultiN">
    <w:name w:val="List MultiN"/>
    <w:basedOn w:val="ListNumber"/>
    <w:rsid w:val="00AF7B7B"/>
    <w:pPr>
      <w:numPr>
        <w:numId w:val="0"/>
      </w:numPr>
      <w:tabs>
        <w:tab w:val="num" w:pos="481"/>
      </w:tabs>
      <w:spacing w:after="60" w:line="240" w:lineRule="auto"/>
      <w:ind w:left="481" w:hanging="481"/>
      <w:contextualSpacing w:val="0"/>
      <w:jc w:val="both"/>
    </w:pPr>
    <w:rPr>
      <w:rFonts w:ascii="Bookman Old Style" w:eastAsia="Calibri" w:hAnsi="Bookman Old Style" w:cs="Bookman Old Style"/>
    </w:rPr>
  </w:style>
  <w:style w:type="paragraph" w:styleId="ListNumber">
    <w:name w:val="List Number"/>
    <w:basedOn w:val="Normal"/>
    <w:uiPriority w:val="99"/>
    <w:semiHidden/>
    <w:unhideWhenUsed/>
    <w:rsid w:val="00AF7B7B"/>
    <w:pPr>
      <w:numPr>
        <w:numId w:val="4"/>
      </w:numPr>
      <w:contextualSpacing/>
    </w:pPr>
  </w:style>
  <w:style w:type="paragraph" w:customStyle="1" w:styleId="Pa5">
    <w:name w:val="Pa5"/>
    <w:basedOn w:val="Normal"/>
    <w:next w:val="Normal"/>
    <w:uiPriority w:val="99"/>
    <w:rsid w:val="00ED050A"/>
    <w:pPr>
      <w:autoSpaceDE w:val="0"/>
      <w:autoSpaceDN w:val="0"/>
      <w:adjustRightInd w:val="0"/>
      <w:spacing w:after="0" w:line="241" w:lineRule="atLeast"/>
    </w:pPr>
    <w:rPr>
      <w:rFonts w:ascii="Myriad Pro" w:hAnsi="Myriad Pro"/>
      <w:sz w:val="24"/>
      <w:szCs w:val="24"/>
    </w:rPr>
  </w:style>
  <w:style w:type="paragraph" w:customStyle="1" w:styleId="Pa1">
    <w:name w:val="Pa1"/>
    <w:basedOn w:val="Normal"/>
    <w:next w:val="Normal"/>
    <w:uiPriority w:val="99"/>
    <w:rsid w:val="00ED050A"/>
    <w:pPr>
      <w:autoSpaceDE w:val="0"/>
      <w:autoSpaceDN w:val="0"/>
      <w:adjustRightInd w:val="0"/>
      <w:spacing w:after="0" w:line="211" w:lineRule="atLeast"/>
    </w:pPr>
    <w:rPr>
      <w:rFonts w:ascii="Myriad Pro" w:hAnsi="Myriad Pro"/>
      <w:sz w:val="24"/>
      <w:szCs w:val="24"/>
    </w:rPr>
  </w:style>
  <w:style w:type="paragraph" w:styleId="CommentText">
    <w:name w:val="annotation text"/>
    <w:basedOn w:val="Normal"/>
    <w:link w:val="CommentTextChar"/>
    <w:uiPriority w:val="99"/>
    <w:semiHidden/>
    <w:unhideWhenUsed/>
    <w:rsid w:val="00753828"/>
    <w:pPr>
      <w:spacing w:line="240" w:lineRule="auto"/>
    </w:pPr>
    <w:rPr>
      <w:sz w:val="20"/>
      <w:szCs w:val="20"/>
    </w:rPr>
  </w:style>
  <w:style w:type="character" w:customStyle="1" w:styleId="CommentTextChar">
    <w:name w:val="Comment Text Char"/>
    <w:basedOn w:val="DefaultParagraphFont"/>
    <w:link w:val="CommentText"/>
    <w:uiPriority w:val="99"/>
    <w:semiHidden/>
    <w:rsid w:val="00753828"/>
    <w:rPr>
      <w:sz w:val="20"/>
      <w:szCs w:val="20"/>
    </w:rPr>
  </w:style>
  <w:style w:type="character" w:styleId="CommentReference">
    <w:name w:val="annotation reference"/>
    <w:basedOn w:val="DefaultParagraphFont"/>
    <w:uiPriority w:val="99"/>
    <w:semiHidden/>
    <w:unhideWhenUsed/>
    <w:rsid w:val="00753828"/>
    <w:rPr>
      <w:sz w:val="16"/>
      <w:szCs w:val="16"/>
    </w:rPr>
  </w:style>
  <w:style w:type="table" w:styleId="TableGrid">
    <w:name w:val="Table Grid"/>
    <w:basedOn w:val="TableNormal"/>
    <w:uiPriority w:val="59"/>
    <w:rsid w:val="00753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B558D"/>
    <w:rPr>
      <w:b/>
      <w:bCs/>
    </w:rPr>
  </w:style>
  <w:style w:type="character" w:customStyle="1" w:styleId="CommentSubjectChar">
    <w:name w:val="Comment Subject Char"/>
    <w:basedOn w:val="CommentTextChar"/>
    <w:link w:val="CommentSubject"/>
    <w:uiPriority w:val="99"/>
    <w:semiHidden/>
    <w:rsid w:val="00FB558D"/>
    <w:rPr>
      <w:b/>
      <w:bCs/>
      <w:sz w:val="20"/>
      <w:szCs w:val="20"/>
    </w:rPr>
  </w:style>
  <w:style w:type="paragraph" w:styleId="Header">
    <w:name w:val="header"/>
    <w:basedOn w:val="Normal"/>
    <w:link w:val="HeaderChar"/>
    <w:uiPriority w:val="99"/>
    <w:semiHidden/>
    <w:unhideWhenUsed/>
    <w:rsid w:val="00A933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39D"/>
  </w:style>
  <w:style w:type="paragraph" w:styleId="Footer">
    <w:name w:val="footer"/>
    <w:basedOn w:val="Normal"/>
    <w:link w:val="FooterChar"/>
    <w:uiPriority w:val="99"/>
    <w:unhideWhenUsed/>
    <w:rsid w:val="00A93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39D"/>
  </w:style>
</w:styles>
</file>

<file path=word/webSettings.xml><?xml version="1.0" encoding="utf-8"?>
<w:webSettings xmlns:r="http://schemas.openxmlformats.org/officeDocument/2006/relationships" xmlns:w="http://schemas.openxmlformats.org/wordprocessingml/2006/main">
  <w:divs>
    <w:div w:id="32391323">
      <w:bodyDiv w:val="1"/>
      <w:marLeft w:val="0"/>
      <w:marRight w:val="0"/>
      <w:marTop w:val="0"/>
      <w:marBottom w:val="0"/>
      <w:divBdr>
        <w:top w:val="none" w:sz="0" w:space="0" w:color="auto"/>
        <w:left w:val="none" w:sz="0" w:space="0" w:color="auto"/>
        <w:bottom w:val="none" w:sz="0" w:space="0" w:color="auto"/>
        <w:right w:val="none" w:sz="0" w:space="0" w:color="auto"/>
      </w:divBdr>
    </w:div>
    <w:div w:id="81420263">
      <w:bodyDiv w:val="1"/>
      <w:marLeft w:val="0"/>
      <w:marRight w:val="0"/>
      <w:marTop w:val="0"/>
      <w:marBottom w:val="0"/>
      <w:divBdr>
        <w:top w:val="none" w:sz="0" w:space="0" w:color="auto"/>
        <w:left w:val="none" w:sz="0" w:space="0" w:color="auto"/>
        <w:bottom w:val="none" w:sz="0" w:space="0" w:color="auto"/>
        <w:right w:val="none" w:sz="0" w:space="0" w:color="auto"/>
      </w:divBdr>
      <w:divsChild>
        <w:div w:id="579750120">
          <w:marLeft w:val="547"/>
          <w:marRight w:val="0"/>
          <w:marTop w:val="240"/>
          <w:marBottom w:val="0"/>
          <w:divBdr>
            <w:top w:val="none" w:sz="0" w:space="0" w:color="auto"/>
            <w:left w:val="none" w:sz="0" w:space="0" w:color="auto"/>
            <w:bottom w:val="none" w:sz="0" w:space="0" w:color="auto"/>
            <w:right w:val="none" w:sz="0" w:space="0" w:color="auto"/>
          </w:divBdr>
        </w:div>
        <w:div w:id="1586114206">
          <w:marLeft w:val="547"/>
          <w:marRight w:val="0"/>
          <w:marTop w:val="240"/>
          <w:marBottom w:val="0"/>
          <w:divBdr>
            <w:top w:val="none" w:sz="0" w:space="0" w:color="auto"/>
            <w:left w:val="none" w:sz="0" w:space="0" w:color="auto"/>
            <w:bottom w:val="none" w:sz="0" w:space="0" w:color="auto"/>
            <w:right w:val="none" w:sz="0" w:space="0" w:color="auto"/>
          </w:divBdr>
        </w:div>
        <w:div w:id="461189175">
          <w:marLeft w:val="547"/>
          <w:marRight w:val="0"/>
          <w:marTop w:val="240"/>
          <w:marBottom w:val="0"/>
          <w:divBdr>
            <w:top w:val="none" w:sz="0" w:space="0" w:color="auto"/>
            <w:left w:val="none" w:sz="0" w:space="0" w:color="auto"/>
            <w:bottom w:val="none" w:sz="0" w:space="0" w:color="auto"/>
            <w:right w:val="none" w:sz="0" w:space="0" w:color="auto"/>
          </w:divBdr>
        </w:div>
        <w:div w:id="462767765">
          <w:marLeft w:val="1267"/>
          <w:marRight w:val="0"/>
          <w:marTop w:val="240"/>
          <w:marBottom w:val="0"/>
          <w:divBdr>
            <w:top w:val="none" w:sz="0" w:space="0" w:color="auto"/>
            <w:left w:val="none" w:sz="0" w:space="0" w:color="auto"/>
            <w:bottom w:val="none" w:sz="0" w:space="0" w:color="auto"/>
            <w:right w:val="none" w:sz="0" w:space="0" w:color="auto"/>
          </w:divBdr>
        </w:div>
        <w:div w:id="408234148">
          <w:marLeft w:val="547"/>
          <w:marRight w:val="0"/>
          <w:marTop w:val="240"/>
          <w:marBottom w:val="0"/>
          <w:divBdr>
            <w:top w:val="none" w:sz="0" w:space="0" w:color="auto"/>
            <w:left w:val="none" w:sz="0" w:space="0" w:color="auto"/>
            <w:bottom w:val="none" w:sz="0" w:space="0" w:color="auto"/>
            <w:right w:val="none" w:sz="0" w:space="0" w:color="auto"/>
          </w:divBdr>
        </w:div>
        <w:div w:id="1739672158">
          <w:marLeft w:val="547"/>
          <w:marRight w:val="0"/>
          <w:marTop w:val="240"/>
          <w:marBottom w:val="0"/>
          <w:divBdr>
            <w:top w:val="none" w:sz="0" w:space="0" w:color="auto"/>
            <w:left w:val="none" w:sz="0" w:space="0" w:color="auto"/>
            <w:bottom w:val="none" w:sz="0" w:space="0" w:color="auto"/>
            <w:right w:val="none" w:sz="0" w:space="0" w:color="auto"/>
          </w:divBdr>
        </w:div>
      </w:divsChild>
    </w:div>
    <w:div w:id="214777692">
      <w:bodyDiv w:val="1"/>
      <w:marLeft w:val="0"/>
      <w:marRight w:val="0"/>
      <w:marTop w:val="0"/>
      <w:marBottom w:val="0"/>
      <w:divBdr>
        <w:top w:val="none" w:sz="0" w:space="0" w:color="auto"/>
        <w:left w:val="none" w:sz="0" w:space="0" w:color="auto"/>
        <w:bottom w:val="none" w:sz="0" w:space="0" w:color="auto"/>
        <w:right w:val="none" w:sz="0" w:space="0" w:color="auto"/>
      </w:divBdr>
    </w:div>
    <w:div w:id="256329661">
      <w:bodyDiv w:val="1"/>
      <w:marLeft w:val="0"/>
      <w:marRight w:val="0"/>
      <w:marTop w:val="0"/>
      <w:marBottom w:val="0"/>
      <w:divBdr>
        <w:top w:val="none" w:sz="0" w:space="0" w:color="auto"/>
        <w:left w:val="none" w:sz="0" w:space="0" w:color="auto"/>
        <w:bottom w:val="none" w:sz="0" w:space="0" w:color="auto"/>
        <w:right w:val="none" w:sz="0" w:space="0" w:color="auto"/>
      </w:divBdr>
    </w:div>
    <w:div w:id="259072596">
      <w:bodyDiv w:val="1"/>
      <w:marLeft w:val="0"/>
      <w:marRight w:val="0"/>
      <w:marTop w:val="0"/>
      <w:marBottom w:val="0"/>
      <w:divBdr>
        <w:top w:val="none" w:sz="0" w:space="0" w:color="auto"/>
        <w:left w:val="none" w:sz="0" w:space="0" w:color="auto"/>
        <w:bottom w:val="none" w:sz="0" w:space="0" w:color="auto"/>
        <w:right w:val="none" w:sz="0" w:space="0" w:color="auto"/>
      </w:divBdr>
      <w:divsChild>
        <w:div w:id="2045212641">
          <w:marLeft w:val="547"/>
          <w:marRight w:val="0"/>
          <w:marTop w:val="240"/>
          <w:marBottom w:val="0"/>
          <w:divBdr>
            <w:top w:val="none" w:sz="0" w:space="0" w:color="auto"/>
            <w:left w:val="none" w:sz="0" w:space="0" w:color="auto"/>
            <w:bottom w:val="none" w:sz="0" w:space="0" w:color="auto"/>
            <w:right w:val="none" w:sz="0" w:space="0" w:color="auto"/>
          </w:divBdr>
        </w:div>
        <w:div w:id="215708323">
          <w:marLeft w:val="547"/>
          <w:marRight w:val="0"/>
          <w:marTop w:val="240"/>
          <w:marBottom w:val="0"/>
          <w:divBdr>
            <w:top w:val="none" w:sz="0" w:space="0" w:color="auto"/>
            <w:left w:val="none" w:sz="0" w:space="0" w:color="auto"/>
            <w:bottom w:val="none" w:sz="0" w:space="0" w:color="auto"/>
            <w:right w:val="none" w:sz="0" w:space="0" w:color="auto"/>
          </w:divBdr>
        </w:div>
        <w:div w:id="87311192">
          <w:marLeft w:val="547"/>
          <w:marRight w:val="0"/>
          <w:marTop w:val="240"/>
          <w:marBottom w:val="0"/>
          <w:divBdr>
            <w:top w:val="none" w:sz="0" w:space="0" w:color="auto"/>
            <w:left w:val="none" w:sz="0" w:space="0" w:color="auto"/>
            <w:bottom w:val="none" w:sz="0" w:space="0" w:color="auto"/>
            <w:right w:val="none" w:sz="0" w:space="0" w:color="auto"/>
          </w:divBdr>
        </w:div>
        <w:div w:id="1284582829">
          <w:marLeft w:val="547"/>
          <w:marRight w:val="0"/>
          <w:marTop w:val="240"/>
          <w:marBottom w:val="0"/>
          <w:divBdr>
            <w:top w:val="none" w:sz="0" w:space="0" w:color="auto"/>
            <w:left w:val="none" w:sz="0" w:space="0" w:color="auto"/>
            <w:bottom w:val="none" w:sz="0" w:space="0" w:color="auto"/>
            <w:right w:val="none" w:sz="0" w:space="0" w:color="auto"/>
          </w:divBdr>
        </w:div>
        <w:div w:id="1009482771">
          <w:marLeft w:val="547"/>
          <w:marRight w:val="0"/>
          <w:marTop w:val="240"/>
          <w:marBottom w:val="0"/>
          <w:divBdr>
            <w:top w:val="none" w:sz="0" w:space="0" w:color="auto"/>
            <w:left w:val="none" w:sz="0" w:space="0" w:color="auto"/>
            <w:bottom w:val="none" w:sz="0" w:space="0" w:color="auto"/>
            <w:right w:val="none" w:sz="0" w:space="0" w:color="auto"/>
          </w:divBdr>
        </w:div>
      </w:divsChild>
    </w:div>
    <w:div w:id="295187207">
      <w:bodyDiv w:val="1"/>
      <w:marLeft w:val="0"/>
      <w:marRight w:val="0"/>
      <w:marTop w:val="0"/>
      <w:marBottom w:val="0"/>
      <w:divBdr>
        <w:top w:val="none" w:sz="0" w:space="0" w:color="auto"/>
        <w:left w:val="none" w:sz="0" w:space="0" w:color="auto"/>
        <w:bottom w:val="none" w:sz="0" w:space="0" w:color="auto"/>
        <w:right w:val="none" w:sz="0" w:space="0" w:color="auto"/>
      </w:divBdr>
    </w:div>
    <w:div w:id="388967412">
      <w:bodyDiv w:val="1"/>
      <w:marLeft w:val="0"/>
      <w:marRight w:val="0"/>
      <w:marTop w:val="0"/>
      <w:marBottom w:val="0"/>
      <w:divBdr>
        <w:top w:val="none" w:sz="0" w:space="0" w:color="auto"/>
        <w:left w:val="none" w:sz="0" w:space="0" w:color="auto"/>
        <w:bottom w:val="none" w:sz="0" w:space="0" w:color="auto"/>
        <w:right w:val="none" w:sz="0" w:space="0" w:color="auto"/>
      </w:divBdr>
      <w:divsChild>
        <w:div w:id="850878873">
          <w:marLeft w:val="547"/>
          <w:marRight w:val="0"/>
          <w:marTop w:val="160"/>
          <w:marBottom w:val="0"/>
          <w:divBdr>
            <w:top w:val="none" w:sz="0" w:space="0" w:color="auto"/>
            <w:left w:val="none" w:sz="0" w:space="0" w:color="auto"/>
            <w:bottom w:val="none" w:sz="0" w:space="0" w:color="auto"/>
            <w:right w:val="none" w:sz="0" w:space="0" w:color="auto"/>
          </w:divBdr>
        </w:div>
        <w:div w:id="1581401826">
          <w:marLeft w:val="547"/>
          <w:marRight w:val="0"/>
          <w:marTop w:val="160"/>
          <w:marBottom w:val="0"/>
          <w:divBdr>
            <w:top w:val="none" w:sz="0" w:space="0" w:color="auto"/>
            <w:left w:val="none" w:sz="0" w:space="0" w:color="auto"/>
            <w:bottom w:val="none" w:sz="0" w:space="0" w:color="auto"/>
            <w:right w:val="none" w:sz="0" w:space="0" w:color="auto"/>
          </w:divBdr>
        </w:div>
        <w:div w:id="1595552858">
          <w:marLeft w:val="1267"/>
          <w:marRight w:val="0"/>
          <w:marTop w:val="160"/>
          <w:marBottom w:val="0"/>
          <w:divBdr>
            <w:top w:val="none" w:sz="0" w:space="0" w:color="auto"/>
            <w:left w:val="none" w:sz="0" w:space="0" w:color="auto"/>
            <w:bottom w:val="none" w:sz="0" w:space="0" w:color="auto"/>
            <w:right w:val="none" w:sz="0" w:space="0" w:color="auto"/>
          </w:divBdr>
        </w:div>
        <w:div w:id="1957786041">
          <w:marLeft w:val="1267"/>
          <w:marRight w:val="0"/>
          <w:marTop w:val="160"/>
          <w:marBottom w:val="0"/>
          <w:divBdr>
            <w:top w:val="none" w:sz="0" w:space="0" w:color="auto"/>
            <w:left w:val="none" w:sz="0" w:space="0" w:color="auto"/>
            <w:bottom w:val="none" w:sz="0" w:space="0" w:color="auto"/>
            <w:right w:val="none" w:sz="0" w:space="0" w:color="auto"/>
          </w:divBdr>
        </w:div>
        <w:div w:id="2042902854">
          <w:marLeft w:val="1267"/>
          <w:marRight w:val="0"/>
          <w:marTop w:val="160"/>
          <w:marBottom w:val="0"/>
          <w:divBdr>
            <w:top w:val="none" w:sz="0" w:space="0" w:color="auto"/>
            <w:left w:val="none" w:sz="0" w:space="0" w:color="auto"/>
            <w:bottom w:val="none" w:sz="0" w:space="0" w:color="auto"/>
            <w:right w:val="none" w:sz="0" w:space="0" w:color="auto"/>
          </w:divBdr>
        </w:div>
        <w:div w:id="1228030344">
          <w:marLeft w:val="1267"/>
          <w:marRight w:val="0"/>
          <w:marTop w:val="160"/>
          <w:marBottom w:val="0"/>
          <w:divBdr>
            <w:top w:val="none" w:sz="0" w:space="0" w:color="auto"/>
            <w:left w:val="none" w:sz="0" w:space="0" w:color="auto"/>
            <w:bottom w:val="none" w:sz="0" w:space="0" w:color="auto"/>
            <w:right w:val="none" w:sz="0" w:space="0" w:color="auto"/>
          </w:divBdr>
        </w:div>
      </w:divsChild>
    </w:div>
    <w:div w:id="427584758">
      <w:bodyDiv w:val="1"/>
      <w:marLeft w:val="0"/>
      <w:marRight w:val="0"/>
      <w:marTop w:val="0"/>
      <w:marBottom w:val="0"/>
      <w:divBdr>
        <w:top w:val="none" w:sz="0" w:space="0" w:color="auto"/>
        <w:left w:val="none" w:sz="0" w:space="0" w:color="auto"/>
        <w:bottom w:val="none" w:sz="0" w:space="0" w:color="auto"/>
        <w:right w:val="none" w:sz="0" w:space="0" w:color="auto"/>
      </w:divBdr>
      <w:divsChild>
        <w:div w:id="695933194">
          <w:marLeft w:val="547"/>
          <w:marRight w:val="0"/>
          <w:marTop w:val="240"/>
          <w:marBottom w:val="0"/>
          <w:divBdr>
            <w:top w:val="none" w:sz="0" w:space="0" w:color="auto"/>
            <w:left w:val="none" w:sz="0" w:space="0" w:color="auto"/>
            <w:bottom w:val="none" w:sz="0" w:space="0" w:color="auto"/>
            <w:right w:val="none" w:sz="0" w:space="0" w:color="auto"/>
          </w:divBdr>
        </w:div>
        <w:div w:id="658847855">
          <w:marLeft w:val="547"/>
          <w:marRight w:val="0"/>
          <w:marTop w:val="240"/>
          <w:marBottom w:val="0"/>
          <w:divBdr>
            <w:top w:val="none" w:sz="0" w:space="0" w:color="auto"/>
            <w:left w:val="none" w:sz="0" w:space="0" w:color="auto"/>
            <w:bottom w:val="none" w:sz="0" w:space="0" w:color="auto"/>
            <w:right w:val="none" w:sz="0" w:space="0" w:color="auto"/>
          </w:divBdr>
        </w:div>
        <w:div w:id="392583046">
          <w:marLeft w:val="547"/>
          <w:marRight w:val="0"/>
          <w:marTop w:val="240"/>
          <w:marBottom w:val="0"/>
          <w:divBdr>
            <w:top w:val="none" w:sz="0" w:space="0" w:color="auto"/>
            <w:left w:val="none" w:sz="0" w:space="0" w:color="auto"/>
            <w:bottom w:val="none" w:sz="0" w:space="0" w:color="auto"/>
            <w:right w:val="none" w:sz="0" w:space="0" w:color="auto"/>
          </w:divBdr>
        </w:div>
        <w:div w:id="1301152639">
          <w:marLeft w:val="547"/>
          <w:marRight w:val="0"/>
          <w:marTop w:val="240"/>
          <w:marBottom w:val="0"/>
          <w:divBdr>
            <w:top w:val="none" w:sz="0" w:space="0" w:color="auto"/>
            <w:left w:val="none" w:sz="0" w:space="0" w:color="auto"/>
            <w:bottom w:val="none" w:sz="0" w:space="0" w:color="auto"/>
            <w:right w:val="none" w:sz="0" w:space="0" w:color="auto"/>
          </w:divBdr>
        </w:div>
        <w:div w:id="525749107">
          <w:marLeft w:val="547"/>
          <w:marRight w:val="0"/>
          <w:marTop w:val="240"/>
          <w:marBottom w:val="0"/>
          <w:divBdr>
            <w:top w:val="none" w:sz="0" w:space="0" w:color="auto"/>
            <w:left w:val="none" w:sz="0" w:space="0" w:color="auto"/>
            <w:bottom w:val="none" w:sz="0" w:space="0" w:color="auto"/>
            <w:right w:val="none" w:sz="0" w:space="0" w:color="auto"/>
          </w:divBdr>
        </w:div>
        <w:div w:id="219946962">
          <w:marLeft w:val="547"/>
          <w:marRight w:val="0"/>
          <w:marTop w:val="240"/>
          <w:marBottom w:val="0"/>
          <w:divBdr>
            <w:top w:val="none" w:sz="0" w:space="0" w:color="auto"/>
            <w:left w:val="none" w:sz="0" w:space="0" w:color="auto"/>
            <w:bottom w:val="none" w:sz="0" w:space="0" w:color="auto"/>
            <w:right w:val="none" w:sz="0" w:space="0" w:color="auto"/>
          </w:divBdr>
        </w:div>
        <w:div w:id="1292596940">
          <w:marLeft w:val="547"/>
          <w:marRight w:val="0"/>
          <w:marTop w:val="240"/>
          <w:marBottom w:val="0"/>
          <w:divBdr>
            <w:top w:val="none" w:sz="0" w:space="0" w:color="auto"/>
            <w:left w:val="none" w:sz="0" w:space="0" w:color="auto"/>
            <w:bottom w:val="none" w:sz="0" w:space="0" w:color="auto"/>
            <w:right w:val="none" w:sz="0" w:space="0" w:color="auto"/>
          </w:divBdr>
        </w:div>
      </w:divsChild>
    </w:div>
    <w:div w:id="460729957">
      <w:bodyDiv w:val="1"/>
      <w:marLeft w:val="0"/>
      <w:marRight w:val="0"/>
      <w:marTop w:val="0"/>
      <w:marBottom w:val="0"/>
      <w:divBdr>
        <w:top w:val="none" w:sz="0" w:space="0" w:color="auto"/>
        <w:left w:val="none" w:sz="0" w:space="0" w:color="auto"/>
        <w:bottom w:val="none" w:sz="0" w:space="0" w:color="auto"/>
        <w:right w:val="none" w:sz="0" w:space="0" w:color="auto"/>
      </w:divBdr>
      <w:divsChild>
        <w:div w:id="1005089861">
          <w:marLeft w:val="547"/>
          <w:marRight w:val="0"/>
          <w:marTop w:val="220"/>
          <w:marBottom w:val="0"/>
          <w:divBdr>
            <w:top w:val="none" w:sz="0" w:space="0" w:color="auto"/>
            <w:left w:val="none" w:sz="0" w:space="0" w:color="auto"/>
            <w:bottom w:val="none" w:sz="0" w:space="0" w:color="auto"/>
            <w:right w:val="none" w:sz="0" w:space="0" w:color="auto"/>
          </w:divBdr>
        </w:div>
        <w:div w:id="1035469500">
          <w:marLeft w:val="547"/>
          <w:marRight w:val="0"/>
          <w:marTop w:val="220"/>
          <w:marBottom w:val="0"/>
          <w:divBdr>
            <w:top w:val="none" w:sz="0" w:space="0" w:color="auto"/>
            <w:left w:val="none" w:sz="0" w:space="0" w:color="auto"/>
            <w:bottom w:val="none" w:sz="0" w:space="0" w:color="auto"/>
            <w:right w:val="none" w:sz="0" w:space="0" w:color="auto"/>
          </w:divBdr>
        </w:div>
        <w:div w:id="945422709">
          <w:marLeft w:val="547"/>
          <w:marRight w:val="0"/>
          <w:marTop w:val="220"/>
          <w:marBottom w:val="0"/>
          <w:divBdr>
            <w:top w:val="none" w:sz="0" w:space="0" w:color="auto"/>
            <w:left w:val="none" w:sz="0" w:space="0" w:color="auto"/>
            <w:bottom w:val="none" w:sz="0" w:space="0" w:color="auto"/>
            <w:right w:val="none" w:sz="0" w:space="0" w:color="auto"/>
          </w:divBdr>
        </w:div>
        <w:div w:id="1031032898">
          <w:marLeft w:val="547"/>
          <w:marRight w:val="0"/>
          <w:marTop w:val="220"/>
          <w:marBottom w:val="0"/>
          <w:divBdr>
            <w:top w:val="none" w:sz="0" w:space="0" w:color="auto"/>
            <w:left w:val="none" w:sz="0" w:space="0" w:color="auto"/>
            <w:bottom w:val="none" w:sz="0" w:space="0" w:color="auto"/>
            <w:right w:val="none" w:sz="0" w:space="0" w:color="auto"/>
          </w:divBdr>
        </w:div>
      </w:divsChild>
    </w:div>
    <w:div w:id="500047449">
      <w:bodyDiv w:val="1"/>
      <w:marLeft w:val="0"/>
      <w:marRight w:val="0"/>
      <w:marTop w:val="0"/>
      <w:marBottom w:val="0"/>
      <w:divBdr>
        <w:top w:val="none" w:sz="0" w:space="0" w:color="auto"/>
        <w:left w:val="none" w:sz="0" w:space="0" w:color="auto"/>
        <w:bottom w:val="none" w:sz="0" w:space="0" w:color="auto"/>
        <w:right w:val="none" w:sz="0" w:space="0" w:color="auto"/>
      </w:divBdr>
    </w:div>
    <w:div w:id="581332721">
      <w:bodyDiv w:val="1"/>
      <w:marLeft w:val="0"/>
      <w:marRight w:val="0"/>
      <w:marTop w:val="0"/>
      <w:marBottom w:val="0"/>
      <w:divBdr>
        <w:top w:val="none" w:sz="0" w:space="0" w:color="auto"/>
        <w:left w:val="none" w:sz="0" w:space="0" w:color="auto"/>
        <w:bottom w:val="none" w:sz="0" w:space="0" w:color="auto"/>
        <w:right w:val="none" w:sz="0" w:space="0" w:color="auto"/>
      </w:divBdr>
      <w:divsChild>
        <w:div w:id="550774993">
          <w:marLeft w:val="547"/>
          <w:marRight w:val="0"/>
          <w:marTop w:val="220"/>
          <w:marBottom w:val="0"/>
          <w:divBdr>
            <w:top w:val="none" w:sz="0" w:space="0" w:color="auto"/>
            <w:left w:val="none" w:sz="0" w:space="0" w:color="auto"/>
            <w:bottom w:val="none" w:sz="0" w:space="0" w:color="auto"/>
            <w:right w:val="none" w:sz="0" w:space="0" w:color="auto"/>
          </w:divBdr>
        </w:div>
        <w:div w:id="141700783">
          <w:marLeft w:val="547"/>
          <w:marRight w:val="0"/>
          <w:marTop w:val="220"/>
          <w:marBottom w:val="0"/>
          <w:divBdr>
            <w:top w:val="none" w:sz="0" w:space="0" w:color="auto"/>
            <w:left w:val="none" w:sz="0" w:space="0" w:color="auto"/>
            <w:bottom w:val="none" w:sz="0" w:space="0" w:color="auto"/>
            <w:right w:val="none" w:sz="0" w:space="0" w:color="auto"/>
          </w:divBdr>
        </w:div>
        <w:div w:id="831795220">
          <w:marLeft w:val="547"/>
          <w:marRight w:val="0"/>
          <w:marTop w:val="220"/>
          <w:marBottom w:val="0"/>
          <w:divBdr>
            <w:top w:val="none" w:sz="0" w:space="0" w:color="auto"/>
            <w:left w:val="none" w:sz="0" w:space="0" w:color="auto"/>
            <w:bottom w:val="none" w:sz="0" w:space="0" w:color="auto"/>
            <w:right w:val="none" w:sz="0" w:space="0" w:color="auto"/>
          </w:divBdr>
        </w:div>
        <w:div w:id="657226811">
          <w:marLeft w:val="547"/>
          <w:marRight w:val="0"/>
          <w:marTop w:val="220"/>
          <w:marBottom w:val="0"/>
          <w:divBdr>
            <w:top w:val="none" w:sz="0" w:space="0" w:color="auto"/>
            <w:left w:val="none" w:sz="0" w:space="0" w:color="auto"/>
            <w:bottom w:val="none" w:sz="0" w:space="0" w:color="auto"/>
            <w:right w:val="none" w:sz="0" w:space="0" w:color="auto"/>
          </w:divBdr>
        </w:div>
      </w:divsChild>
    </w:div>
    <w:div w:id="595482327">
      <w:bodyDiv w:val="1"/>
      <w:marLeft w:val="0"/>
      <w:marRight w:val="0"/>
      <w:marTop w:val="0"/>
      <w:marBottom w:val="0"/>
      <w:divBdr>
        <w:top w:val="none" w:sz="0" w:space="0" w:color="auto"/>
        <w:left w:val="none" w:sz="0" w:space="0" w:color="auto"/>
        <w:bottom w:val="none" w:sz="0" w:space="0" w:color="auto"/>
        <w:right w:val="none" w:sz="0" w:space="0" w:color="auto"/>
      </w:divBdr>
    </w:div>
    <w:div w:id="598223647">
      <w:bodyDiv w:val="1"/>
      <w:marLeft w:val="0"/>
      <w:marRight w:val="0"/>
      <w:marTop w:val="0"/>
      <w:marBottom w:val="0"/>
      <w:divBdr>
        <w:top w:val="none" w:sz="0" w:space="0" w:color="auto"/>
        <w:left w:val="none" w:sz="0" w:space="0" w:color="auto"/>
        <w:bottom w:val="none" w:sz="0" w:space="0" w:color="auto"/>
        <w:right w:val="none" w:sz="0" w:space="0" w:color="auto"/>
      </w:divBdr>
    </w:div>
    <w:div w:id="621349524">
      <w:bodyDiv w:val="1"/>
      <w:marLeft w:val="0"/>
      <w:marRight w:val="0"/>
      <w:marTop w:val="0"/>
      <w:marBottom w:val="0"/>
      <w:divBdr>
        <w:top w:val="none" w:sz="0" w:space="0" w:color="auto"/>
        <w:left w:val="none" w:sz="0" w:space="0" w:color="auto"/>
        <w:bottom w:val="none" w:sz="0" w:space="0" w:color="auto"/>
        <w:right w:val="none" w:sz="0" w:space="0" w:color="auto"/>
      </w:divBdr>
    </w:div>
    <w:div w:id="734820420">
      <w:bodyDiv w:val="1"/>
      <w:marLeft w:val="0"/>
      <w:marRight w:val="0"/>
      <w:marTop w:val="0"/>
      <w:marBottom w:val="0"/>
      <w:divBdr>
        <w:top w:val="none" w:sz="0" w:space="0" w:color="auto"/>
        <w:left w:val="none" w:sz="0" w:space="0" w:color="auto"/>
        <w:bottom w:val="none" w:sz="0" w:space="0" w:color="auto"/>
        <w:right w:val="none" w:sz="0" w:space="0" w:color="auto"/>
      </w:divBdr>
    </w:div>
    <w:div w:id="913201349">
      <w:bodyDiv w:val="1"/>
      <w:marLeft w:val="0"/>
      <w:marRight w:val="0"/>
      <w:marTop w:val="0"/>
      <w:marBottom w:val="0"/>
      <w:divBdr>
        <w:top w:val="none" w:sz="0" w:space="0" w:color="auto"/>
        <w:left w:val="none" w:sz="0" w:space="0" w:color="auto"/>
        <w:bottom w:val="none" w:sz="0" w:space="0" w:color="auto"/>
        <w:right w:val="none" w:sz="0" w:space="0" w:color="auto"/>
      </w:divBdr>
    </w:div>
    <w:div w:id="959185258">
      <w:bodyDiv w:val="1"/>
      <w:marLeft w:val="0"/>
      <w:marRight w:val="0"/>
      <w:marTop w:val="0"/>
      <w:marBottom w:val="0"/>
      <w:divBdr>
        <w:top w:val="none" w:sz="0" w:space="0" w:color="auto"/>
        <w:left w:val="none" w:sz="0" w:space="0" w:color="auto"/>
        <w:bottom w:val="none" w:sz="0" w:space="0" w:color="auto"/>
        <w:right w:val="none" w:sz="0" w:space="0" w:color="auto"/>
      </w:divBdr>
    </w:div>
    <w:div w:id="1052730775">
      <w:bodyDiv w:val="1"/>
      <w:marLeft w:val="0"/>
      <w:marRight w:val="0"/>
      <w:marTop w:val="0"/>
      <w:marBottom w:val="0"/>
      <w:divBdr>
        <w:top w:val="none" w:sz="0" w:space="0" w:color="auto"/>
        <w:left w:val="none" w:sz="0" w:space="0" w:color="auto"/>
        <w:bottom w:val="none" w:sz="0" w:space="0" w:color="auto"/>
        <w:right w:val="none" w:sz="0" w:space="0" w:color="auto"/>
      </w:divBdr>
      <w:divsChild>
        <w:div w:id="2020236769">
          <w:marLeft w:val="547"/>
          <w:marRight w:val="0"/>
          <w:marTop w:val="160"/>
          <w:marBottom w:val="0"/>
          <w:divBdr>
            <w:top w:val="none" w:sz="0" w:space="0" w:color="auto"/>
            <w:left w:val="none" w:sz="0" w:space="0" w:color="auto"/>
            <w:bottom w:val="none" w:sz="0" w:space="0" w:color="auto"/>
            <w:right w:val="none" w:sz="0" w:space="0" w:color="auto"/>
          </w:divBdr>
        </w:div>
        <w:div w:id="917710573">
          <w:marLeft w:val="547"/>
          <w:marRight w:val="0"/>
          <w:marTop w:val="160"/>
          <w:marBottom w:val="0"/>
          <w:divBdr>
            <w:top w:val="none" w:sz="0" w:space="0" w:color="auto"/>
            <w:left w:val="none" w:sz="0" w:space="0" w:color="auto"/>
            <w:bottom w:val="none" w:sz="0" w:space="0" w:color="auto"/>
            <w:right w:val="none" w:sz="0" w:space="0" w:color="auto"/>
          </w:divBdr>
        </w:div>
        <w:div w:id="1524392822">
          <w:marLeft w:val="547"/>
          <w:marRight w:val="0"/>
          <w:marTop w:val="160"/>
          <w:marBottom w:val="0"/>
          <w:divBdr>
            <w:top w:val="none" w:sz="0" w:space="0" w:color="auto"/>
            <w:left w:val="none" w:sz="0" w:space="0" w:color="auto"/>
            <w:bottom w:val="none" w:sz="0" w:space="0" w:color="auto"/>
            <w:right w:val="none" w:sz="0" w:space="0" w:color="auto"/>
          </w:divBdr>
        </w:div>
        <w:div w:id="1476023658">
          <w:marLeft w:val="547"/>
          <w:marRight w:val="0"/>
          <w:marTop w:val="160"/>
          <w:marBottom w:val="0"/>
          <w:divBdr>
            <w:top w:val="none" w:sz="0" w:space="0" w:color="auto"/>
            <w:left w:val="none" w:sz="0" w:space="0" w:color="auto"/>
            <w:bottom w:val="none" w:sz="0" w:space="0" w:color="auto"/>
            <w:right w:val="none" w:sz="0" w:space="0" w:color="auto"/>
          </w:divBdr>
        </w:div>
        <w:div w:id="1739791130">
          <w:marLeft w:val="547"/>
          <w:marRight w:val="0"/>
          <w:marTop w:val="160"/>
          <w:marBottom w:val="0"/>
          <w:divBdr>
            <w:top w:val="none" w:sz="0" w:space="0" w:color="auto"/>
            <w:left w:val="none" w:sz="0" w:space="0" w:color="auto"/>
            <w:bottom w:val="none" w:sz="0" w:space="0" w:color="auto"/>
            <w:right w:val="none" w:sz="0" w:space="0" w:color="auto"/>
          </w:divBdr>
        </w:div>
      </w:divsChild>
    </w:div>
    <w:div w:id="1053120329">
      <w:bodyDiv w:val="1"/>
      <w:marLeft w:val="0"/>
      <w:marRight w:val="0"/>
      <w:marTop w:val="0"/>
      <w:marBottom w:val="0"/>
      <w:divBdr>
        <w:top w:val="none" w:sz="0" w:space="0" w:color="auto"/>
        <w:left w:val="none" w:sz="0" w:space="0" w:color="auto"/>
        <w:bottom w:val="none" w:sz="0" w:space="0" w:color="auto"/>
        <w:right w:val="none" w:sz="0" w:space="0" w:color="auto"/>
      </w:divBdr>
    </w:div>
    <w:div w:id="1121076256">
      <w:bodyDiv w:val="1"/>
      <w:marLeft w:val="0"/>
      <w:marRight w:val="0"/>
      <w:marTop w:val="0"/>
      <w:marBottom w:val="0"/>
      <w:divBdr>
        <w:top w:val="none" w:sz="0" w:space="0" w:color="auto"/>
        <w:left w:val="none" w:sz="0" w:space="0" w:color="auto"/>
        <w:bottom w:val="none" w:sz="0" w:space="0" w:color="auto"/>
        <w:right w:val="none" w:sz="0" w:space="0" w:color="auto"/>
      </w:divBdr>
    </w:div>
    <w:div w:id="1184393417">
      <w:bodyDiv w:val="1"/>
      <w:marLeft w:val="0"/>
      <w:marRight w:val="0"/>
      <w:marTop w:val="0"/>
      <w:marBottom w:val="0"/>
      <w:divBdr>
        <w:top w:val="none" w:sz="0" w:space="0" w:color="auto"/>
        <w:left w:val="none" w:sz="0" w:space="0" w:color="auto"/>
        <w:bottom w:val="none" w:sz="0" w:space="0" w:color="auto"/>
        <w:right w:val="none" w:sz="0" w:space="0" w:color="auto"/>
      </w:divBdr>
      <w:divsChild>
        <w:div w:id="31620307">
          <w:marLeft w:val="547"/>
          <w:marRight w:val="0"/>
          <w:marTop w:val="384"/>
          <w:marBottom w:val="0"/>
          <w:divBdr>
            <w:top w:val="none" w:sz="0" w:space="0" w:color="auto"/>
            <w:left w:val="none" w:sz="0" w:space="0" w:color="auto"/>
            <w:bottom w:val="none" w:sz="0" w:space="0" w:color="auto"/>
            <w:right w:val="none" w:sz="0" w:space="0" w:color="auto"/>
          </w:divBdr>
        </w:div>
        <w:div w:id="1027679496">
          <w:marLeft w:val="547"/>
          <w:marRight w:val="0"/>
          <w:marTop w:val="384"/>
          <w:marBottom w:val="0"/>
          <w:divBdr>
            <w:top w:val="none" w:sz="0" w:space="0" w:color="auto"/>
            <w:left w:val="none" w:sz="0" w:space="0" w:color="auto"/>
            <w:bottom w:val="none" w:sz="0" w:space="0" w:color="auto"/>
            <w:right w:val="none" w:sz="0" w:space="0" w:color="auto"/>
          </w:divBdr>
        </w:div>
        <w:div w:id="695693753">
          <w:marLeft w:val="547"/>
          <w:marRight w:val="0"/>
          <w:marTop w:val="384"/>
          <w:marBottom w:val="0"/>
          <w:divBdr>
            <w:top w:val="none" w:sz="0" w:space="0" w:color="auto"/>
            <w:left w:val="none" w:sz="0" w:space="0" w:color="auto"/>
            <w:bottom w:val="none" w:sz="0" w:space="0" w:color="auto"/>
            <w:right w:val="none" w:sz="0" w:space="0" w:color="auto"/>
          </w:divBdr>
        </w:div>
        <w:div w:id="350687445">
          <w:marLeft w:val="547"/>
          <w:marRight w:val="0"/>
          <w:marTop w:val="384"/>
          <w:marBottom w:val="0"/>
          <w:divBdr>
            <w:top w:val="none" w:sz="0" w:space="0" w:color="auto"/>
            <w:left w:val="none" w:sz="0" w:space="0" w:color="auto"/>
            <w:bottom w:val="none" w:sz="0" w:space="0" w:color="auto"/>
            <w:right w:val="none" w:sz="0" w:space="0" w:color="auto"/>
          </w:divBdr>
        </w:div>
      </w:divsChild>
    </w:div>
    <w:div w:id="1315988727">
      <w:bodyDiv w:val="1"/>
      <w:marLeft w:val="0"/>
      <w:marRight w:val="0"/>
      <w:marTop w:val="0"/>
      <w:marBottom w:val="0"/>
      <w:divBdr>
        <w:top w:val="none" w:sz="0" w:space="0" w:color="auto"/>
        <w:left w:val="none" w:sz="0" w:space="0" w:color="auto"/>
        <w:bottom w:val="none" w:sz="0" w:space="0" w:color="auto"/>
        <w:right w:val="none" w:sz="0" w:space="0" w:color="auto"/>
      </w:divBdr>
    </w:div>
    <w:div w:id="1332221951">
      <w:bodyDiv w:val="1"/>
      <w:marLeft w:val="0"/>
      <w:marRight w:val="0"/>
      <w:marTop w:val="0"/>
      <w:marBottom w:val="0"/>
      <w:divBdr>
        <w:top w:val="none" w:sz="0" w:space="0" w:color="auto"/>
        <w:left w:val="none" w:sz="0" w:space="0" w:color="auto"/>
        <w:bottom w:val="none" w:sz="0" w:space="0" w:color="auto"/>
        <w:right w:val="none" w:sz="0" w:space="0" w:color="auto"/>
      </w:divBdr>
    </w:div>
    <w:div w:id="1343893764">
      <w:bodyDiv w:val="1"/>
      <w:marLeft w:val="0"/>
      <w:marRight w:val="0"/>
      <w:marTop w:val="0"/>
      <w:marBottom w:val="0"/>
      <w:divBdr>
        <w:top w:val="none" w:sz="0" w:space="0" w:color="auto"/>
        <w:left w:val="none" w:sz="0" w:space="0" w:color="auto"/>
        <w:bottom w:val="none" w:sz="0" w:space="0" w:color="auto"/>
        <w:right w:val="none" w:sz="0" w:space="0" w:color="auto"/>
      </w:divBdr>
    </w:div>
    <w:div w:id="1457259908">
      <w:bodyDiv w:val="1"/>
      <w:marLeft w:val="0"/>
      <w:marRight w:val="0"/>
      <w:marTop w:val="0"/>
      <w:marBottom w:val="0"/>
      <w:divBdr>
        <w:top w:val="none" w:sz="0" w:space="0" w:color="auto"/>
        <w:left w:val="none" w:sz="0" w:space="0" w:color="auto"/>
        <w:bottom w:val="none" w:sz="0" w:space="0" w:color="auto"/>
        <w:right w:val="none" w:sz="0" w:space="0" w:color="auto"/>
      </w:divBdr>
    </w:div>
    <w:div w:id="1505510562">
      <w:bodyDiv w:val="1"/>
      <w:marLeft w:val="0"/>
      <w:marRight w:val="0"/>
      <w:marTop w:val="0"/>
      <w:marBottom w:val="0"/>
      <w:divBdr>
        <w:top w:val="none" w:sz="0" w:space="0" w:color="auto"/>
        <w:left w:val="none" w:sz="0" w:space="0" w:color="auto"/>
        <w:bottom w:val="none" w:sz="0" w:space="0" w:color="auto"/>
        <w:right w:val="none" w:sz="0" w:space="0" w:color="auto"/>
      </w:divBdr>
      <w:divsChild>
        <w:div w:id="116528337">
          <w:marLeft w:val="547"/>
          <w:marRight w:val="0"/>
          <w:marTop w:val="384"/>
          <w:marBottom w:val="0"/>
          <w:divBdr>
            <w:top w:val="none" w:sz="0" w:space="0" w:color="auto"/>
            <w:left w:val="none" w:sz="0" w:space="0" w:color="auto"/>
            <w:bottom w:val="none" w:sz="0" w:space="0" w:color="auto"/>
            <w:right w:val="none" w:sz="0" w:space="0" w:color="auto"/>
          </w:divBdr>
        </w:div>
        <w:div w:id="482164978">
          <w:marLeft w:val="547"/>
          <w:marRight w:val="0"/>
          <w:marTop w:val="384"/>
          <w:marBottom w:val="0"/>
          <w:divBdr>
            <w:top w:val="none" w:sz="0" w:space="0" w:color="auto"/>
            <w:left w:val="none" w:sz="0" w:space="0" w:color="auto"/>
            <w:bottom w:val="none" w:sz="0" w:space="0" w:color="auto"/>
            <w:right w:val="none" w:sz="0" w:space="0" w:color="auto"/>
          </w:divBdr>
        </w:div>
        <w:div w:id="264926695">
          <w:marLeft w:val="547"/>
          <w:marRight w:val="0"/>
          <w:marTop w:val="384"/>
          <w:marBottom w:val="0"/>
          <w:divBdr>
            <w:top w:val="none" w:sz="0" w:space="0" w:color="auto"/>
            <w:left w:val="none" w:sz="0" w:space="0" w:color="auto"/>
            <w:bottom w:val="none" w:sz="0" w:space="0" w:color="auto"/>
            <w:right w:val="none" w:sz="0" w:space="0" w:color="auto"/>
          </w:divBdr>
        </w:div>
        <w:div w:id="1409384266">
          <w:marLeft w:val="547"/>
          <w:marRight w:val="0"/>
          <w:marTop w:val="384"/>
          <w:marBottom w:val="0"/>
          <w:divBdr>
            <w:top w:val="none" w:sz="0" w:space="0" w:color="auto"/>
            <w:left w:val="none" w:sz="0" w:space="0" w:color="auto"/>
            <w:bottom w:val="none" w:sz="0" w:space="0" w:color="auto"/>
            <w:right w:val="none" w:sz="0" w:space="0" w:color="auto"/>
          </w:divBdr>
        </w:div>
      </w:divsChild>
    </w:div>
    <w:div w:id="1527017151">
      <w:bodyDiv w:val="1"/>
      <w:marLeft w:val="0"/>
      <w:marRight w:val="0"/>
      <w:marTop w:val="0"/>
      <w:marBottom w:val="0"/>
      <w:divBdr>
        <w:top w:val="none" w:sz="0" w:space="0" w:color="auto"/>
        <w:left w:val="none" w:sz="0" w:space="0" w:color="auto"/>
        <w:bottom w:val="none" w:sz="0" w:space="0" w:color="auto"/>
        <w:right w:val="none" w:sz="0" w:space="0" w:color="auto"/>
      </w:divBdr>
    </w:div>
    <w:div w:id="1608852582">
      <w:bodyDiv w:val="1"/>
      <w:marLeft w:val="0"/>
      <w:marRight w:val="0"/>
      <w:marTop w:val="0"/>
      <w:marBottom w:val="0"/>
      <w:divBdr>
        <w:top w:val="none" w:sz="0" w:space="0" w:color="auto"/>
        <w:left w:val="none" w:sz="0" w:space="0" w:color="auto"/>
        <w:bottom w:val="none" w:sz="0" w:space="0" w:color="auto"/>
        <w:right w:val="none" w:sz="0" w:space="0" w:color="auto"/>
      </w:divBdr>
    </w:div>
    <w:div w:id="1619412841">
      <w:bodyDiv w:val="1"/>
      <w:marLeft w:val="0"/>
      <w:marRight w:val="0"/>
      <w:marTop w:val="0"/>
      <w:marBottom w:val="0"/>
      <w:divBdr>
        <w:top w:val="none" w:sz="0" w:space="0" w:color="auto"/>
        <w:left w:val="none" w:sz="0" w:space="0" w:color="auto"/>
        <w:bottom w:val="none" w:sz="0" w:space="0" w:color="auto"/>
        <w:right w:val="none" w:sz="0" w:space="0" w:color="auto"/>
      </w:divBdr>
    </w:div>
    <w:div w:id="1623876916">
      <w:bodyDiv w:val="1"/>
      <w:marLeft w:val="0"/>
      <w:marRight w:val="0"/>
      <w:marTop w:val="0"/>
      <w:marBottom w:val="0"/>
      <w:divBdr>
        <w:top w:val="none" w:sz="0" w:space="0" w:color="auto"/>
        <w:left w:val="none" w:sz="0" w:space="0" w:color="auto"/>
        <w:bottom w:val="none" w:sz="0" w:space="0" w:color="auto"/>
        <w:right w:val="none" w:sz="0" w:space="0" w:color="auto"/>
      </w:divBdr>
      <w:divsChild>
        <w:div w:id="1895121065">
          <w:marLeft w:val="547"/>
          <w:marRight w:val="0"/>
          <w:marTop w:val="180"/>
          <w:marBottom w:val="0"/>
          <w:divBdr>
            <w:top w:val="none" w:sz="0" w:space="0" w:color="auto"/>
            <w:left w:val="none" w:sz="0" w:space="0" w:color="auto"/>
            <w:bottom w:val="none" w:sz="0" w:space="0" w:color="auto"/>
            <w:right w:val="none" w:sz="0" w:space="0" w:color="auto"/>
          </w:divBdr>
        </w:div>
        <w:div w:id="310015214">
          <w:marLeft w:val="1267"/>
          <w:marRight w:val="0"/>
          <w:marTop w:val="180"/>
          <w:marBottom w:val="0"/>
          <w:divBdr>
            <w:top w:val="none" w:sz="0" w:space="0" w:color="auto"/>
            <w:left w:val="none" w:sz="0" w:space="0" w:color="auto"/>
            <w:bottom w:val="none" w:sz="0" w:space="0" w:color="auto"/>
            <w:right w:val="none" w:sz="0" w:space="0" w:color="auto"/>
          </w:divBdr>
        </w:div>
        <w:div w:id="971399401">
          <w:marLeft w:val="547"/>
          <w:marRight w:val="0"/>
          <w:marTop w:val="180"/>
          <w:marBottom w:val="0"/>
          <w:divBdr>
            <w:top w:val="none" w:sz="0" w:space="0" w:color="auto"/>
            <w:left w:val="none" w:sz="0" w:space="0" w:color="auto"/>
            <w:bottom w:val="none" w:sz="0" w:space="0" w:color="auto"/>
            <w:right w:val="none" w:sz="0" w:space="0" w:color="auto"/>
          </w:divBdr>
        </w:div>
        <w:div w:id="544878835">
          <w:marLeft w:val="547"/>
          <w:marRight w:val="0"/>
          <w:marTop w:val="180"/>
          <w:marBottom w:val="0"/>
          <w:divBdr>
            <w:top w:val="none" w:sz="0" w:space="0" w:color="auto"/>
            <w:left w:val="none" w:sz="0" w:space="0" w:color="auto"/>
            <w:bottom w:val="none" w:sz="0" w:space="0" w:color="auto"/>
            <w:right w:val="none" w:sz="0" w:space="0" w:color="auto"/>
          </w:divBdr>
        </w:div>
        <w:div w:id="267660430">
          <w:marLeft w:val="547"/>
          <w:marRight w:val="0"/>
          <w:marTop w:val="180"/>
          <w:marBottom w:val="0"/>
          <w:divBdr>
            <w:top w:val="none" w:sz="0" w:space="0" w:color="auto"/>
            <w:left w:val="none" w:sz="0" w:space="0" w:color="auto"/>
            <w:bottom w:val="none" w:sz="0" w:space="0" w:color="auto"/>
            <w:right w:val="none" w:sz="0" w:space="0" w:color="auto"/>
          </w:divBdr>
        </w:div>
      </w:divsChild>
    </w:div>
    <w:div w:id="1777016895">
      <w:bodyDiv w:val="1"/>
      <w:marLeft w:val="0"/>
      <w:marRight w:val="0"/>
      <w:marTop w:val="0"/>
      <w:marBottom w:val="0"/>
      <w:divBdr>
        <w:top w:val="none" w:sz="0" w:space="0" w:color="auto"/>
        <w:left w:val="none" w:sz="0" w:space="0" w:color="auto"/>
        <w:bottom w:val="none" w:sz="0" w:space="0" w:color="auto"/>
        <w:right w:val="none" w:sz="0" w:space="0" w:color="auto"/>
      </w:divBdr>
    </w:div>
    <w:div w:id="1942369122">
      <w:bodyDiv w:val="1"/>
      <w:marLeft w:val="0"/>
      <w:marRight w:val="0"/>
      <w:marTop w:val="0"/>
      <w:marBottom w:val="0"/>
      <w:divBdr>
        <w:top w:val="none" w:sz="0" w:space="0" w:color="auto"/>
        <w:left w:val="none" w:sz="0" w:space="0" w:color="auto"/>
        <w:bottom w:val="none" w:sz="0" w:space="0" w:color="auto"/>
        <w:right w:val="none" w:sz="0" w:space="0" w:color="auto"/>
      </w:divBdr>
    </w:div>
    <w:div w:id="2094351481">
      <w:bodyDiv w:val="1"/>
      <w:marLeft w:val="0"/>
      <w:marRight w:val="0"/>
      <w:marTop w:val="0"/>
      <w:marBottom w:val="0"/>
      <w:divBdr>
        <w:top w:val="none" w:sz="0" w:space="0" w:color="auto"/>
        <w:left w:val="none" w:sz="0" w:space="0" w:color="auto"/>
        <w:bottom w:val="none" w:sz="0" w:space="0" w:color="auto"/>
        <w:right w:val="none" w:sz="0" w:space="0" w:color="auto"/>
      </w:divBdr>
      <w:divsChild>
        <w:div w:id="367486715">
          <w:marLeft w:val="720"/>
          <w:marRight w:val="0"/>
          <w:marTop w:val="384"/>
          <w:marBottom w:val="0"/>
          <w:divBdr>
            <w:top w:val="none" w:sz="0" w:space="0" w:color="auto"/>
            <w:left w:val="none" w:sz="0" w:space="0" w:color="auto"/>
            <w:bottom w:val="none" w:sz="0" w:space="0" w:color="auto"/>
            <w:right w:val="none" w:sz="0" w:space="0" w:color="auto"/>
          </w:divBdr>
        </w:div>
        <w:div w:id="118382399">
          <w:marLeft w:val="720"/>
          <w:marRight w:val="0"/>
          <w:marTop w:val="384"/>
          <w:marBottom w:val="0"/>
          <w:divBdr>
            <w:top w:val="none" w:sz="0" w:space="0" w:color="auto"/>
            <w:left w:val="none" w:sz="0" w:space="0" w:color="auto"/>
            <w:bottom w:val="none" w:sz="0" w:space="0" w:color="auto"/>
            <w:right w:val="none" w:sz="0" w:space="0" w:color="auto"/>
          </w:divBdr>
        </w:div>
        <w:div w:id="1032147841">
          <w:marLeft w:val="720"/>
          <w:marRight w:val="0"/>
          <w:marTop w:val="384"/>
          <w:marBottom w:val="0"/>
          <w:divBdr>
            <w:top w:val="none" w:sz="0" w:space="0" w:color="auto"/>
            <w:left w:val="none" w:sz="0" w:space="0" w:color="auto"/>
            <w:bottom w:val="none" w:sz="0" w:space="0" w:color="auto"/>
            <w:right w:val="none" w:sz="0" w:space="0" w:color="auto"/>
          </w:divBdr>
        </w:div>
        <w:div w:id="2017538847">
          <w:marLeft w:val="720"/>
          <w:marRight w:val="0"/>
          <w:marTop w:val="384"/>
          <w:marBottom w:val="0"/>
          <w:divBdr>
            <w:top w:val="none" w:sz="0" w:space="0" w:color="auto"/>
            <w:left w:val="none" w:sz="0" w:space="0" w:color="auto"/>
            <w:bottom w:val="none" w:sz="0" w:space="0" w:color="auto"/>
            <w:right w:val="none" w:sz="0" w:space="0" w:color="auto"/>
          </w:divBdr>
        </w:div>
        <w:div w:id="1480613404">
          <w:marLeft w:val="720"/>
          <w:marRight w:val="0"/>
          <w:marTop w:val="38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len\Documents\My%20Dropbox\Cofinancing%20tool\Cofinancing_tool_2012.06.10%20Mongolia%20details.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len\Documents\My%20Dropbox\Cofinancing%20tool\Cofinancing_tool_2012.06.10%20Mongolia%20details.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elen\Documents\My%20Dropbox\Cofinancing%20tool\Cofinancing_tool_2012.06.10%20Mongolia%20details.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elen\Documents\My%20Dropbox\Cofinancing%20tool\Cofinancing_tool_2012.06.10%20Mongolia%20details.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elen\Documents\My%20Dropbox\Cofinancing%20tool\Cofinancing_tool_2012.06.10%20Mongolia%20detail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stacked"/>
        <c:ser>
          <c:idx val="0"/>
          <c:order val="0"/>
          <c:tx>
            <c:strRef>
              <c:f>Sheet2!$B$23</c:f>
              <c:strCache>
                <c:ptCount val="1"/>
                <c:pt idx="0">
                  <c:v>Routine</c:v>
                </c:pt>
              </c:strCache>
            </c:strRef>
          </c:tx>
          <c:cat>
            <c:numRef>
              <c:f>Sheet2!$C$22:$K$22</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Sheet2!$C$23:$K$23</c:f>
              <c:numCache>
                <c:formatCode>_("$"* #,##0_);_("$"* \(#,##0\);_("$"* "-"??_);_(@_)</c:formatCode>
                <c:ptCount val="9"/>
                <c:pt idx="0">
                  <c:v>353457.1019999998</c:v>
                </c:pt>
                <c:pt idx="1">
                  <c:v>365670.271</c:v>
                </c:pt>
                <c:pt idx="2">
                  <c:v>376688.495000001</c:v>
                </c:pt>
                <c:pt idx="3">
                  <c:v>388054.598</c:v>
                </c:pt>
                <c:pt idx="4">
                  <c:v>395230.0</c:v>
                </c:pt>
                <c:pt idx="5">
                  <c:v>395230.0</c:v>
                </c:pt>
                <c:pt idx="6">
                  <c:v>395230.0</c:v>
                </c:pt>
                <c:pt idx="7">
                  <c:v>395230.0</c:v>
                </c:pt>
                <c:pt idx="8">
                  <c:v>395230.0</c:v>
                </c:pt>
              </c:numCache>
            </c:numRef>
          </c:val>
        </c:ser>
        <c:ser>
          <c:idx val="1"/>
          <c:order val="1"/>
          <c:tx>
            <c:strRef>
              <c:f>Sheet2!$B$24</c:f>
              <c:strCache>
                <c:ptCount val="1"/>
                <c:pt idx="0">
                  <c:v>Nonroutine</c:v>
                </c:pt>
              </c:strCache>
            </c:strRef>
          </c:tx>
          <c:cat>
            <c:numRef>
              <c:f>Sheet2!$C$22:$K$22</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Sheet2!$C$24:$K$24</c:f>
              <c:numCache>
                <c:formatCode>_("$"* #,##0_);_("$"* \(#,##0\);_("$"* "-"??_);_(@_)</c:formatCode>
                <c:ptCount val="9"/>
                <c:pt idx="0">
                  <c:v>550000.0</c:v>
                </c:pt>
                <c:pt idx="1">
                  <c:v>550000.0</c:v>
                </c:pt>
                <c:pt idx="2">
                  <c:v>550000.0</c:v>
                </c:pt>
                <c:pt idx="3">
                  <c:v>550000.0</c:v>
                </c:pt>
                <c:pt idx="4">
                  <c:v>550000.0</c:v>
                </c:pt>
                <c:pt idx="5">
                  <c:v>550000.0</c:v>
                </c:pt>
                <c:pt idx="6">
                  <c:v>550000.0</c:v>
                </c:pt>
                <c:pt idx="7">
                  <c:v>550000.0</c:v>
                </c:pt>
                <c:pt idx="8">
                  <c:v>550000.0</c:v>
                </c:pt>
              </c:numCache>
            </c:numRef>
          </c:val>
        </c:ser>
        <c:ser>
          <c:idx val="2"/>
          <c:order val="2"/>
          <c:tx>
            <c:strRef>
              <c:f>Sheet2!$B$25</c:f>
              <c:strCache>
                <c:ptCount val="1"/>
                <c:pt idx="0">
                  <c:v>Penta</c:v>
                </c:pt>
              </c:strCache>
            </c:strRef>
          </c:tx>
          <c:cat>
            <c:numRef>
              <c:f>Sheet2!$C$22:$K$22</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Sheet2!$C$25:$K$25</c:f>
              <c:numCache>
                <c:formatCode>_("$"* #,##0_);_("$"* \(#,##0\);_("$"* "-"??_);_(@_)</c:formatCode>
                <c:ptCount val="9"/>
                <c:pt idx="0">
                  <c:v>129625.0</c:v>
                </c:pt>
                <c:pt idx="1">
                  <c:v>211784.0</c:v>
                </c:pt>
                <c:pt idx="2">
                  <c:v>298094.0</c:v>
                </c:pt>
                <c:pt idx="3">
                  <c:v>389801.0</c:v>
                </c:pt>
                <c:pt idx="4">
                  <c:v>780298.47</c:v>
                </c:pt>
                <c:pt idx="5">
                  <c:v>797538.15</c:v>
                </c:pt>
                <c:pt idx="6">
                  <c:v>803744.76</c:v>
                </c:pt>
                <c:pt idx="7">
                  <c:v>792512.99</c:v>
                </c:pt>
                <c:pt idx="8">
                  <c:v>700325.0850000001</c:v>
                </c:pt>
              </c:numCache>
            </c:numRef>
          </c:val>
        </c:ser>
        <c:ser>
          <c:idx val="3"/>
          <c:order val="3"/>
          <c:tx>
            <c:strRef>
              <c:f>Sheet2!$B$26</c:f>
              <c:strCache>
                <c:ptCount val="1"/>
                <c:pt idx="0">
                  <c:v>Pneumo</c:v>
                </c:pt>
              </c:strCache>
            </c:strRef>
          </c:tx>
          <c:cat>
            <c:numRef>
              <c:f>Sheet2!$C$22:$K$22</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Sheet2!$C$26:$K$26</c:f>
              <c:numCache>
                <c:formatCode>_("$"* #,##0_);_("$"* \(#,##0\);_("$"* "-"??_);_(@_)</c:formatCode>
                <c:ptCount val="9"/>
                <c:pt idx="0">
                  <c:v>0.0</c:v>
                </c:pt>
                <c:pt idx="1">
                  <c:v>0.0</c:v>
                </c:pt>
                <c:pt idx="2">
                  <c:v>367730.64</c:v>
                </c:pt>
                <c:pt idx="3">
                  <c:v>785881.4400000004</c:v>
                </c:pt>
                <c:pt idx="4">
                  <c:v>780298.47</c:v>
                </c:pt>
                <c:pt idx="5">
                  <c:v>797538.15</c:v>
                </c:pt>
                <c:pt idx="6">
                  <c:v>803744.76</c:v>
                </c:pt>
                <c:pt idx="7">
                  <c:v>792512.99</c:v>
                </c:pt>
                <c:pt idx="8">
                  <c:v>700325.0850000001</c:v>
                </c:pt>
              </c:numCache>
            </c:numRef>
          </c:val>
        </c:ser>
        <c:ser>
          <c:idx val="4"/>
          <c:order val="4"/>
          <c:tx>
            <c:strRef>
              <c:f>Sheet2!$B$27</c:f>
              <c:strCache>
                <c:ptCount val="1"/>
                <c:pt idx="0">
                  <c:v>HepA</c:v>
                </c:pt>
              </c:strCache>
            </c:strRef>
          </c:tx>
          <c:cat>
            <c:numRef>
              <c:f>Sheet2!$C$22:$K$22</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Sheet2!$C$27:$K$27</c:f>
              <c:numCache>
                <c:formatCode>_("$"* #,##0_);_("$"* \(#,##0\);_("$"* "-"??_);_(@_)</c:formatCode>
                <c:ptCount val="9"/>
                <c:pt idx="0">
                  <c:v>1.297868E6</c:v>
                </c:pt>
                <c:pt idx="1">
                  <c:v>2.014168E6</c:v>
                </c:pt>
                <c:pt idx="2">
                  <c:v>2.078622E6</c:v>
                </c:pt>
                <c:pt idx="3">
                  <c:v>2.145117E6</c:v>
                </c:pt>
                <c:pt idx="4">
                  <c:v>2.21E6</c:v>
                </c:pt>
                <c:pt idx="5">
                  <c:v>2.21E6</c:v>
                </c:pt>
                <c:pt idx="6">
                  <c:v>2.21E6</c:v>
                </c:pt>
                <c:pt idx="7">
                  <c:v>2.21E6</c:v>
                </c:pt>
                <c:pt idx="8">
                  <c:v>2.21E6</c:v>
                </c:pt>
              </c:numCache>
            </c:numRef>
          </c:val>
        </c:ser>
        <c:overlap val="100"/>
        <c:axId val="368102632"/>
        <c:axId val="368105672"/>
      </c:barChart>
      <c:catAx>
        <c:axId val="368102632"/>
        <c:scaling>
          <c:orientation val="minMax"/>
        </c:scaling>
        <c:axPos val="b"/>
        <c:numFmt formatCode="General" sourceLinked="1"/>
        <c:tickLblPos val="nextTo"/>
        <c:crossAx val="368105672"/>
        <c:crosses val="autoZero"/>
        <c:auto val="1"/>
        <c:lblAlgn val="ctr"/>
        <c:lblOffset val="100"/>
      </c:catAx>
      <c:valAx>
        <c:axId val="368105672"/>
        <c:scaling>
          <c:orientation val="minMax"/>
        </c:scaling>
        <c:axPos val="l"/>
        <c:majorGridlines/>
        <c:numFmt formatCode="_(&quot;$&quot;* #,##0_);_(&quot;$&quot;* \(#,##0\);_(&quot;$&quot;* &quot;-&quot;??_);_(@_)" sourceLinked="1"/>
        <c:tickLblPos val="nextTo"/>
        <c:crossAx val="3681026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stacked"/>
        <c:ser>
          <c:idx val="0"/>
          <c:order val="0"/>
          <c:tx>
            <c:strRef>
              <c:f>Sheet2!$B$32</c:f>
              <c:strCache>
                <c:ptCount val="1"/>
                <c:pt idx="0">
                  <c:v>Routine</c:v>
                </c:pt>
              </c:strCache>
            </c:strRef>
          </c:tx>
          <c:cat>
            <c:numRef>
              <c:f>Sheet2!$C$31:$K$31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Sheet2!$C$32:$K$32</c:f>
              <c:numCache>
                <c:formatCode>_("$"* #,##0_);_("$"* \(#,##0\);_("$"* "-"??_);_(@_)</c:formatCode>
                <c:ptCount val="9"/>
                <c:pt idx="0">
                  <c:v>353457.1019999998</c:v>
                </c:pt>
                <c:pt idx="1">
                  <c:v>365670.271</c:v>
                </c:pt>
                <c:pt idx="2">
                  <c:v>376688.4950000008</c:v>
                </c:pt>
                <c:pt idx="3">
                  <c:v>388054.598</c:v>
                </c:pt>
                <c:pt idx="4">
                  <c:v>395230.0</c:v>
                </c:pt>
                <c:pt idx="5">
                  <c:v>395230.0</c:v>
                </c:pt>
                <c:pt idx="6">
                  <c:v>395230.0</c:v>
                </c:pt>
                <c:pt idx="7">
                  <c:v>395230.0</c:v>
                </c:pt>
                <c:pt idx="8">
                  <c:v>395230.0</c:v>
                </c:pt>
              </c:numCache>
            </c:numRef>
          </c:val>
        </c:ser>
        <c:ser>
          <c:idx val="1"/>
          <c:order val="1"/>
          <c:tx>
            <c:strRef>
              <c:f>Sheet2!$B$33</c:f>
              <c:strCache>
                <c:ptCount val="1"/>
                <c:pt idx="0">
                  <c:v>Nonroutine</c:v>
                </c:pt>
              </c:strCache>
            </c:strRef>
          </c:tx>
          <c:cat>
            <c:numRef>
              <c:f>Sheet2!$C$31:$K$31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Sheet2!$C$33:$K$33</c:f>
              <c:numCache>
                <c:formatCode>_("$"* #,##0_);_("$"* \(#,##0\);_("$"* "-"??_);_(@_)</c:formatCode>
                <c:ptCount val="9"/>
                <c:pt idx="0">
                  <c:v>550000.0</c:v>
                </c:pt>
                <c:pt idx="1">
                  <c:v>550000.0</c:v>
                </c:pt>
                <c:pt idx="2">
                  <c:v>550000.0</c:v>
                </c:pt>
                <c:pt idx="3">
                  <c:v>550000.0</c:v>
                </c:pt>
                <c:pt idx="4">
                  <c:v>550000.0</c:v>
                </c:pt>
                <c:pt idx="5">
                  <c:v>550000.0</c:v>
                </c:pt>
                <c:pt idx="6">
                  <c:v>550000.0</c:v>
                </c:pt>
                <c:pt idx="7">
                  <c:v>550000.0</c:v>
                </c:pt>
                <c:pt idx="8">
                  <c:v>550000.0</c:v>
                </c:pt>
              </c:numCache>
            </c:numRef>
          </c:val>
        </c:ser>
        <c:ser>
          <c:idx val="2"/>
          <c:order val="2"/>
          <c:tx>
            <c:strRef>
              <c:f>Sheet2!$B$34</c:f>
              <c:strCache>
                <c:ptCount val="1"/>
                <c:pt idx="0">
                  <c:v>Penta</c:v>
                </c:pt>
              </c:strCache>
            </c:strRef>
          </c:tx>
          <c:cat>
            <c:numRef>
              <c:f>Sheet2!$C$31:$K$31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Sheet2!$C$34:$K$34</c:f>
              <c:numCache>
                <c:formatCode>_("$"* #,##0_);_("$"* \(#,##0\);_("$"* "-"??_);_(@_)</c:formatCode>
                <c:ptCount val="9"/>
                <c:pt idx="0">
                  <c:v>129625.0</c:v>
                </c:pt>
                <c:pt idx="1">
                  <c:v>211784.0</c:v>
                </c:pt>
                <c:pt idx="2">
                  <c:v>298094.0</c:v>
                </c:pt>
                <c:pt idx="3">
                  <c:v>389801.0</c:v>
                </c:pt>
                <c:pt idx="4">
                  <c:v>780298.47</c:v>
                </c:pt>
                <c:pt idx="5">
                  <c:v>797538.15</c:v>
                </c:pt>
                <c:pt idx="6">
                  <c:v>803744.76</c:v>
                </c:pt>
                <c:pt idx="7">
                  <c:v>792512.99</c:v>
                </c:pt>
                <c:pt idx="8">
                  <c:v>700325.0850000001</c:v>
                </c:pt>
              </c:numCache>
            </c:numRef>
          </c:val>
        </c:ser>
        <c:ser>
          <c:idx val="3"/>
          <c:order val="3"/>
          <c:tx>
            <c:strRef>
              <c:f>Sheet2!$B$35</c:f>
              <c:strCache>
                <c:ptCount val="1"/>
                <c:pt idx="0">
                  <c:v>Pneumo</c:v>
                </c:pt>
              </c:strCache>
            </c:strRef>
          </c:tx>
          <c:cat>
            <c:numRef>
              <c:f>Sheet2!$C$31:$K$31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Sheet2!$C$35:$K$35</c:f>
              <c:numCache>
                <c:formatCode>_("$"* #,##0_);_("$"* \(#,##0\);_("$"* "-"??_);_(@_)</c:formatCode>
                <c:ptCount val="9"/>
                <c:pt idx="0">
                  <c:v>0.0</c:v>
                </c:pt>
                <c:pt idx="1">
                  <c:v>0.0</c:v>
                </c:pt>
                <c:pt idx="2">
                  <c:v>367730.64</c:v>
                </c:pt>
                <c:pt idx="3">
                  <c:v>785881.4400000004</c:v>
                </c:pt>
                <c:pt idx="4">
                  <c:v>780298.47</c:v>
                </c:pt>
                <c:pt idx="5">
                  <c:v>797538.15</c:v>
                </c:pt>
                <c:pt idx="6">
                  <c:v>803744.76</c:v>
                </c:pt>
                <c:pt idx="7">
                  <c:v>792512.99</c:v>
                </c:pt>
                <c:pt idx="8">
                  <c:v>700325.0850000001</c:v>
                </c:pt>
              </c:numCache>
            </c:numRef>
          </c:val>
        </c:ser>
        <c:ser>
          <c:idx val="4"/>
          <c:order val="4"/>
          <c:tx>
            <c:strRef>
              <c:f>Sheet2!$B$36</c:f>
              <c:strCache>
                <c:ptCount val="1"/>
                <c:pt idx="0">
                  <c:v>HepA</c:v>
                </c:pt>
              </c:strCache>
            </c:strRef>
          </c:tx>
          <c:cat>
            <c:numRef>
              <c:f>Sheet2!$C$31:$K$31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Sheet2!$C$36:$K$36</c:f>
              <c:numCache>
                <c:formatCode>_("$"* #,##0_);_("$"* \(#,##0\);_("$"* "-"??_);_(@_)</c:formatCode>
                <c:ptCount val="9"/>
                <c:pt idx="0">
                  <c:v>1.297868E6</c:v>
                </c:pt>
                <c:pt idx="1">
                  <c:v>2.014168E6</c:v>
                </c:pt>
                <c:pt idx="2">
                  <c:v>2.078622E6</c:v>
                </c:pt>
                <c:pt idx="3">
                  <c:v>2.145117E6</c:v>
                </c:pt>
                <c:pt idx="4">
                  <c:v>2.21E6</c:v>
                </c:pt>
                <c:pt idx="5">
                  <c:v>2.21E6</c:v>
                </c:pt>
                <c:pt idx="6">
                  <c:v>2.21E6</c:v>
                </c:pt>
                <c:pt idx="7">
                  <c:v>2.21E6</c:v>
                </c:pt>
                <c:pt idx="8">
                  <c:v>2.21E6</c:v>
                </c:pt>
              </c:numCache>
            </c:numRef>
          </c:val>
        </c:ser>
        <c:ser>
          <c:idx val="5"/>
          <c:order val="5"/>
          <c:tx>
            <c:strRef>
              <c:f>Sheet2!$B$37</c:f>
              <c:strCache>
                <c:ptCount val="1"/>
                <c:pt idx="0">
                  <c:v>HPV</c:v>
                </c:pt>
              </c:strCache>
            </c:strRef>
          </c:tx>
          <c:cat>
            <c:numRef>
              <c:f>Sheet2!$C$31:$K$31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Sheet2!$C$37:$K$37</c:f>
              <c:numCache>
                <c:formatCode>_("$"* #,##0_);_("$"* \(#,##0\);_("$"* "-"??_);_(@_)</c:formatCode>
                <c:ptCount val="9"/>
                <c:pt idx="0">
                  <c:v>0.0</c:v>
                </c:pt>
                <c:pt idx="1">
                  <c:v>362494.0</c:v>
                </c:pt>
                <c:pt idx="2">
                  <c:v>602976.0</c:v>
                </c:pt>
                <c:pt idx="3">
                  <c:v>781187.0</c:v>
                </c:pt>
                <c:pt idx="4">
                  <c:v>773883.0</c:v>
                </c:pt>
                <c:pt idx="5">
                  <c:v>825352.0</c:v>
                </c:pt>
                <c:pt idx="6">
                  <c:v>886336.0</c:v>
                </c:pt>
                <c:pt idx="7">
                  <c:v>942810.0</c:v>
                </c:pt>
                <c:pt idx="8">
                  <c:v>983202.0</c:v>
                </c:pt>
              </c:numCache>
            </c:numRef>
          </c:val>
        </c:ser>
        <c:overlap val="100"/>
        <c:axId val="368839496"/>
        <c:axId val="368542392"/>
      </c:barChart>
      <c:catAx>
        <c:axId val="368839496"/>
        <c:scaling>
          <c:orientation val="minMax"/>
        </c:scaling>
        <c:axPos val="b"/>
        <c:numFmt formatCode="General" sourceLinked="1"/>
        <c:tickLblPos val="nextTo"/>
        <c:txPr>
          <a:bodyPr/>
          <a:lstStyle/>
          <a:p>
            <a:pPr>
              <a:defRPr b="1"/>
            </a:pPr>
            <a:endParaRPr lang="en-US"/>
          </a:p>
        </c:txPr>
        <c:crossAx val="368542392"/>
        <c:crosses val="autoZero"/>
        <c:auto val="1"/>
        <c:lblAlgn val="ctr"/>
        <c:lblOffset val="100"/>
      </c:catAx>
      <c:valAx>
        <c:axId val="368542392"/>
        <c:scaling>
          <c:orientation val="minMax"/>
        </c:scaling>
        <c:axPos val="l"/>
        <c:majorGridlines/>
        <c:numFmt formatCode="_(&quot;$&quot;* #,##0_);_(&quot;$&quot;* \(#,##0\);_(&quot;$&quot;* &quot;-&quot;??_);_(@_)" sourceLinked="1"/>
        <c:tickLblPos val="nextTo"/>
        <c:crossAx val="368839496"/>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stacked"/>
        <c:ser>
          <c:idx val="0"/>
          <c:order val="0"/>
          <c:tx>
            <c:strRef>
              <c:f>Sheet2!$B$79</c:f>
              <c:strCache>
                <c:ptCount val="1"/>
                <c:pt idx="0">
                  <c:v>Routine</c:v>
                </c:pt>
              </c:strCache>
            </c:strRef>
          </c:tx>
          <c:cat>
            <c:numRef>
              <c:f>Sheet2!$C$78:$K$78</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Sheet2!$C$79:$K$79</c:f>
              <c:numCache>
                <c:formatCode>_("$"* #,##0_);_("$"* \(#,##0\);_("$"* "-"??_);_(@_)</c:formatCode>
                <c:ptCount val="9"/>
                <c:pt idx="0">
                  <c:v>353457.1019999998</c:v>
                </c:pt>
                <c:pt idx="1">
                  <c:v>365670.271</c:v>
                </c:pt>
                <c:pt idx="2">
                  <c:v>376688.4950000008</c:v>
                </c:pt>
                <c:pt idx="3">
                  <c:v>388054.598</c:v>
                </c:pt>
                <c:pt idx="4">
                  <c:v>395230.0</c:v>
                </c:pt>
                <c:pt idx="5">
                  <c:v>395230.0</c:v>
                </c:pt>
                <c:pt idx="6">
                  <c:v>395230.0</c:v>
                </c:pt>
                <c:pt idx="7">
                  <c:v>395230.0</c:v>
                </c:pt>
                <c:pt idx="8">
                  <c:v>395230.0</c:v>
                </c:pt>
              </c:numCache>
            </c:numRef>
          </c:val>
        </c:ser>
        <c:ser>
          <c:idx val="1"/>
          <c:order val="1"/>
          <c:tx>
            <c:strRef>
              <c:f>Sheet2!$B$80</c:f>
              <c:strCache>
                <c:ptCount val="1"/>
                <c:pt idx="0">
                  <c:v>Nonroutine</c:v>
                </c:pt>
              </c:strCache>
            </c:strRef>
          </c:tx>
          <c:cat>
            <c:numRef>
              <c:f>Sheet2!$C$78:$K$78</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Sheet2!$C$80:$K$80</c:f>
              <c:numCache>
                <c:formatCode>_("$"* #,##0_);_("$"* \(#,##0\);_("$"* "-"??_);_(@_)</c:formatCode>
                <c:ptCount val="9"/>
                <c:pt idx="0">
                  <c:v>550000.0</c:v>
                </c:pt>
                <c:pt idx="1">
                  <c:v>550000.0</c:v>
                </c:pt>
                <c:pt idx="2">
                  <c:v>550000.0</c:v>
                </c:pt>
                <c:pt idx="3">
                  <c:v>550000.0</c:v>
                </c:pt>
                <c:pt idx="4">
                  <c:v>550000.0</c:v>
                </c:pt>
                <c:pt idx="5">
                  <c:v>550000.0</c:v>
                </c:pt>
                <c:pt idx="6">
                  <c:v>550000.0</c:v>
                </c:pt>
                <c:pt idx="7">
                  <c:v>550000.0</c:v>
                </c:pt>
                <c:pt idx="8">
                  <c:v>550000.0</c:v>
                </c:pt>
              </c:numCache>
            </c:numRef>
          </c:val>
        </c:ser>
        <c:ser>
          <c:idx val="2"/>
          <c:order val="2"/>
          <c:tx>
            <c:strRef>
              <c:f>Sheet2!$B$81</c:f>
              <c:strCache>
                <c:ptCount val="1"/>
                <c:pt idx="0">
                  <c:v>Penta</c:v>
                </c:pt>
              </c:strCache>
            </c:strRef>
          </c:tx>
          <c:cat>
            <c:numRef>
              <c:f>Sheet2!$C$78:$K$78</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Sheet2!$C$81:$K$81</c:f>
              <c:numCache>
                <c:formatCode>_("$"* #,##0_);_("$"* \(#,##0\);_("$"* "-"??_);_(@_)</c:formatCode>
                <c:ptCount val="9"/>
                <c:pt idx="0">
                  <c:v>129625.0</c:v>
                </c:pt>
                <c:pt idx="1">
                  <c:v>211784.0</c:v>
                </c:pt>
                <c:pt idx="2">
                  <c:v>298094.0</c:v>
                </c:pt>
                <c:pt idx="3">
                  <c:v>389801.0</c:v>
                </c:pt>
                <c:pt idx="4">
                  <c:v>780298.47</c:v>
                </c:pt>
                <c:pt idx="5">
                  <c:v>797538.15</c:v>
                </c:pt>
                <c:pt idx="6">
                  <c:v>803744.76</c:v>
                </c:pt>
                <c:pt idx="7">
                  <c:v>792512.99</c:v>
                </c:pt>
                <c:pt idx="8">
                  <c:v>700325.0850000001</c:v>
                </c:pt>
              </c:numCache>
            </c:numRef>
          </c:val>
        </c:ser>
        <c:ser>
          <c:idx val="3"/>
          <c:order val="3"/>
          <c:tx>
            <c:strRef>
              <c:f>Sheet2!$B$82</c:f>
              <c:strCache>
                <c:ptCount val="1"/>
                <c:pt idx="0">
                  <c:v>Pneumo</c:v>
                </c:pt>
              </c:strCache>
            </c:strRef>
          </c:tx>
          <c:cat>
            <c:numRef>
              <c:f>Sheet2!$C$78:$K$78</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Sheet2!$C$82:$K$82</c:f>
              <c:numCache>
                <c:formatCode>_("$"* #,##0_);_("$"* \(#,##0\);_("$"* "-"??_);_(@_)</c:formatCode>
                <c:ptCount val="9"/>
                <c:pt idx="0">
                  <c:v>0.0</c:v>
                </c:pt>
                <c:pt idx="1">
                  <c:v>0.0</c:v>
                </c:pt>
                <c:pt idx="2">
                  <c:v>367730.64</c:v>
                </c:pt>
                <c:pt idx="3">
                  <c:v>785881.4400000004</c:v>
                </c:pt>
                <c:pt idx="4">
                  <c:v>780298.47</c:v>
                </c:pt>
                <c:pt idx="5">
                  <c:v>797538.15</c:v>
                </c:pt>
                <c:pt idx="6">
                  <c:v>803744.76</c:v>
                </c:pt>
                <c:pt idx="7">
                  <c:v>792512.99</c:v>
                </c:pt>
                <c:pt idx="8">
                  <c:v>700325.0850000001</c:v>
                </c:pt>
              </c:numCache>
            </c:numRef>
          </c:val>
        </c:ser>
        <c:ser>
          <c:idx val="4"/>
          <c:order val="4"/>
          <c:tx>
            <c:strRef>
              <c:f>Sheet2!$B$83</c:f>
              <c:strCache>
                <c:ptCount val="1"/>
                <c:pt idx="0">
                  <c:v>HepA</c:v>
                </c:pt>
              </c:strCache>
            </c:strRef>
          </c:tx>
          <c:cat>
            <c:numRef>
              <c:f>Sheet2!$C$78:$K$78</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Sheet2!$C$83:$K$83</c:f>
              <c:numCache>
                <c:formatCode>_("$"* #,##0_);_("$"* \(#,##0\);_("$"* "-"??_);_(@_)</c:formatCode>
                <c:ptCount val="9"/>
                <c:pt idx="0">
                  <c:v>1.297868E6</c:v>
                </c:pt>
                <c:pt idx="1">
                  <c:v>2.014168E6</c:v>
                </c:pt>
                <c:pt idx="2">
                  <c:v>2.078622E6</c:v>
                </c:pt>
                <c:pt idx="3">
                  <c:v>2.145117E6</c:v>
                </c:pt>
                <c:pt idx="4">
                  <c:v>2.21E6</c:v>
                </c:pt>
                <c:pt idx="5">
                  <c:v>2.21E6</c:v>
                </c:pt>
                <c:pt idx="6">
                  <c:v>2.21E6</c:v>
                </c:pt>
                <c:pt idx="7">
                  <c:v>2.21E6</c:v>
                </c:pt>
                <c:pt idx="8">
                  <c:v>2.21E6</c:v>
                </c:pt>
              </c:numCache>
            </c:numRef>
          </c:val>
        </c:ser>
        <c:ser>
          <c:idx val="5"/>
          <c:order val="5"/>
          <c:tx>
            <c:strRef>
              <c:f>Sheet2!$B$84</c:f>
              <c:strCache>
                <c:ptCount val="1"/>
                <c:pt idx="0">
                  <c:v>Rota2</c:v>
                </c:pt>
              </c:strCache>
            </c:strRef>
          </c:tx>
          <c:cat>
            <c:numRef>
              <c:f>Sheet2!$C$78:$K$78</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Sheet2!$C$84:$K$84</c:f>
              <c:numCache>
                <c:formatCode>_("$"* #,##0_);_("$"* \(#,##0\);_("$"* "-"??_);_(@_)</c:formatCode>
                <c:ptCount val="9"/>
                <c:pt idx="0">
                  <c:v>0.0</c:v>
                </c:pt>
                <c:pt idx="1">
                  <c:v>0.0</c:v>
                </c:pt>
                <c:pt idx="2">
                  <c:v>0.0</c:v>
                </c:pt>
                <c:pt idx="3">
                  <c:v>0.0</c:v>
                </c:pt>
                <c:pt idx="4">
                  <c:v>0.0</c:v>
                </c:pt>
                <c:pt idx="5">
                  <c:v>0.0</c:v>
                </c:pt>
                <c:pt idx="6">
                  <c:v>0.0</c:v>
                </c:pt>
                <c:pt idx="7">
                  <c:v>256986.45</c:v>
                </c:pt>
                <c:pt idx="8">
                  <c:v>330852.3</c:v>
                </c:pt>
              </c:numCache>
            </c:numRef>
          </c:val>
        </c:ser>
        <c:overlap val="100"/>
        <c:axId val="368519016"/>
        <c:axId val="368842808"/>
      </c:barChart>
      <c:catAx>
        <c:axId val="368519016"/>
        <c:scaling>
          <c:orientation val="minMax"/>
        </c:scaling>
        <c:axPos val="b"/>
        <c:numFmt formatCode="General" sourceLinked="1"/>
        <c:tickLblPos val="nextTo"/>
        <c:crossAx val="368842808"/>
        <c:crosses val="autoZero"/>
        <c:auto val="1"/>
        <c:lblAlgn val="ctr"/>
        <c:lblOffset val="100"/>
      </c:catAx>
      <c:valAx>
        <c:axId val="368842808"/>
        <c:scaling>
          <c:orientation val="minMax"/>
        </c:scaling>
        <c:axPos val="l"/>
        <c:majorGridlines/>
        <c:numFmt formatCode="_(&quot;$&quot;* #,##0_);_(&quot;$&quot;* \(#,##0\);_(&quot;$&quot;* &quot;-&quot;??_);_(@_)" sourceLinked="1"/>
        <c:tickLblPos val="nextTo"/>
        <c:crossAx val="368519016"/>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manualLayout>
          <c:layoutTarget val="inner"/>
          <c:xMode val="edge"/>
          <c:yMode val="edge"/>
          <c:x val="0.0817789719056202"/>
          <c:y val="0.0717330492839589"/>
          <c:w val="0.640391769552902"/>
          <c:h val="0.813392092566679"/>
        </c:manualLayout>
      </c:layout>
      <c:lineChart>
        <c:grouping val="standard"/>
        <c:ser>
          <c:idx val="0"/>
          <c:order val="0"/>
          <c:tx>
            <c:strRef>
              <c:f>Sheet2!$B$4</c:f>
              <c:strCache>
                <c:ptCount val="1"/>
                <c:pt idx="0">
                  <c:v>Government Health Spending as Share of GDP</c:v>
                </c:pt>
              </c:strCache>
            </c:strRef>
          </c:tx>
          <c:marker>
            <c:symbol val="none"/>
          </c:marker>
          <c:cat>
            <c:numRef>
              <c:f>Sheet2!$C$3:$N$3</c:f>
              <c:numCache>
                <c:formatCode>General</c:formatCode>
                <c:ptCount val="12"/>
                <c:pt idx="0">
                  <c:v>2000.0</c:v>
                </c:pt>
                <c:pt idx="1">
                  <c:v>2001.0</c:v>
                </c:pt>
                <c:pt idx="2">
                  <c:v>2002.0</c:v>
                </c:pt>
                <c:pt idx="3">
                  <c:v>2003.0</c:v>
                </c:pt>
                <c:pt idx="4">
                  <c:v>2004.0</c:v>
                </c:pt>
                <c:pt idx="5">
                  <c:v>2005.0</c:v>
                </c:pt>
                <c:pt idx="6">
                  <c:v>2006.0</c:v>
                </c:pt>
                <c:pt idx="7">
                  <c:v>2007.0</c:v>
                </c:pt>
                <c:pt idx="8">
                  <c:v>2008.0</c:v>
                </c:pt>
                <c:pt idx="9">
                  <c:v>2009.0</c:v>
                </c:pt>
                <c:pt idx="10">
                  <c:v>2010.0</c:v>
                </c:pt>
                <c:pt idx="11">
                  <c:v>2011.0</c:v>
                </c:pt>
              </c:numCache>
            </c:numRef>
          </c:cat>
          <c:val>
            <c:numRef>
              <c:f>Sheet2!$C$4:$N$4</c:f>
              <c:numCache>
                <c:formatCode>General</c:formatCode>
                <c:ptCount val="12"/>
                <c:pt idx="0" formatCode="0.0">
                  <c:v>4.6</c:v>
                </c:pt>
                <c:pt idx="1">
                  <c:v>4.9</c:v>
                </c:pt>
                <c:pt idx="2">
                  <c:v>4.6</c:v>
                </c:pt>
                <c:pt idx="3">
                  <c:v>4.2</c:v>
                </c:pt>
                <c:pt idx="4">
                  <c:v>4.1</c:v>
                </c:pt>
                <c:pt idx="5">
                  <c:v>3.3</c:v>
                </c:pt>
                <c:pt idx="6">
                  <c:v>3.3</c:v>
                </c:pt>
                <c:pt idx="7">
                  <c:v>3.4</c:v>
                </c:pt>
                <c:pt idx="8">
                  <c:v>3.5</c:v>
                </c:pt>
                <c:pt idx="9">
                  <c:v>3.3</c:v>
                </c:pt>
                <c:pt idx="10">
                  <c:v>3.0</c:v>
                </c:pt>
                <c:pt idx="11">
                  <c:v>3.1</c:v>
                </c:pt>
              </c:numCache>
            </c:numRef>
          </c:val>
        </c:ser>
        <c:ser>
          <c:idx val="1"/>
          <c:order val="1"/>
          <c:tx>
            <c:strRef>
              <c:f>Sheet2!$B$5</c:f>
              <c:strCache>
                <c:ptCount val="1"/>
                <c:pt idx="0">
                  <c:v>Government Health Spending as Share of Total Government Spending</c:v>
                </c:pt>
              </c:strCache>
            </c:strRef>
          </c:tx>
          <c:marker>
            <c:symbol val="none"/>
          </c:marker>
          <c:cat>
            <c:numRef>
              <c:f>Sheet2!$C$3:$N$3</c:f>
              <c:numCache>
                <c:formatCode>General</c:formatCode>
                <c:ptCount val="12"/>
                <c:pt idx="0">
                  <c:v>2000.0</c:v>
                </c:pt>
                <c:pt idx="1">
                  <c:v>2001.0</c:v>
                </c:pt>
                <c:pt idx="2">
                  <c:v>2002.0</c:v>
                </c:pt>
                <c:pt idx="3">
                  <c:v>2003.0</c:v>
                </c:pt>
                <c:pt idx="4">
                  <c:v>2004.0</c:v>
                </c:pt>
                <c:pt idx="5">
                  <c:v>2005.0</c:v>
                </c:pt>
                <c:pt idx="6">
                  <c:v>2006.0</c:v>
                </c:pt>
                <c:pt idx="7">
                  <c:v>2007.0</c:v>
                </c:pt>
                <c:pt idx="8">
                  <c:v>2008.0</c:v>
                </c:pt>
                <c:pt idx="9">
                  <c:v>2009.0</c:v>
                </c:pt>
                <c:pt idx="10">
                  <c:v>2010.0</c:v>
                </c:pt>
                <c:pt idx="11">
                  <c:v>2011.0</c:v>
                </c:pt>
              </c:numCache>
            </c:numRef>
          </c:cat>
          <c:val>
            <c:numRef>
              <c:f>Sheet2!$C$5:$N$5</c:f>
              <c:numCache>
                <c:formatCode>General</c:formatCode>
                <c:ptCount val="12"/>
                <c:pt idx="0">
                  <c:v>11.0</c:v>
                </c:pt>
                <c:pt idx="1">
                  <c:v>11.0</c:v>
                </c:pt>
                <c:pt idx="2">
                  <c:v>11.0</c:v>
                </c:pt>
                <c:pt idx="3">
                  <c:v>10.0</c:v>
                </c:pt>
                <c:pt idx="4">
                  <c:v>10.0</c:v>
                </c:pt>
                <c:pt idx="5">
                  <c:v>11.0</c:v>
                </c:pt>
                <c:pt idx="6">
                  <c:v>8.0</c:v>
                </c:pt>
                <c:pt idx="7">
                  <c:v>9.0</c:v>
                </c:pt>
                <c:pt idx="8">
                  <c:v>9.0</c:v>
                </c:pt>
                <c:pt idx="9">
                  <c:v>9.0</c:v>
                </c:pt>
                <c:pt idx="10">
                  <c:v>8.0</c:v>
                </c:pt>
              </c:numCache>
            </c:numRef>
          </c:val>
        </c:ser>
        <c:marker val="1"/>
        <c:axId val="368454088"/>
        <c:axId val="368457144"/>
      </c:lineChart>
      <c:catAx>
        <c:axId val="368454088"/>
        <c:scaling>
          <c:orientation val="minMax"/>
        </c:scaling>
        <c:axPos val="b"/>
        <c:numFmt formatCode="General" sourceLinked="1"/>
        <c:tickLblPos val="nextTo"/>
        <c:crossAx val="368457144"/>
        <c:crosses val="autoZero"/>
        <c:auto val="1"/>
        <c:lblAlgn val="ctr"/>
        <c:lblOffset val="100"/>
      </c:catAx>
      <c:valAx>
        <c:axId val="368457144"/>
        <c:scaling>
          <c:orientation val="minMax"/>
        </c:scaling>
        <c:axPos val="l"/>
        <c:majorGridlines/>
        <c:numFmt formatCode="0.0" sourceLinked="1"/>
        <c:tickLblPos val="nextTo"/>
        <c:crossAx val="368454088"/>
        <c:crosses val="autoZero"/>
        <c:crossBetween val="between"/>
      </c:valAx>
    </c:plotArea>
    <c:legend>
      <c:legendPos val="r"/>
      <c:layout>
        <c:manualLayout>
          <c:xMode val="edge"/>
          <c:yMode val="edge"/>
          <c:x val="0.722170741458523"/>
          <c:y val="0.42693623509263"/>
          <c:w val="0.264920480572459"/>
          <c:h val="0.3625021408133"/>
        </c:manualLayout>
      </c:layout>
    </c:legend>
    <c:plotVisOnly val="1"/>
    <c:dispBlanksAs val="gap"/>
  </c:chart>
  <c:spPr>
    <a:ln w="12700"/>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Sheet2!$B$42</c:f>
              <c:strCache>
                <c:ptCount val="1"/>
                <c:pt idx="0">
                  <c:v>Pneumo 2014</c:v>
                </c:pt>
              </c:strCache>
            </c:strRef>
          </c:tx>
          <c:marker>
            <c:symbol val="none"/>
          </c:marker>
          <c:cat>
            <c:numRef>
              <c:f>Sheet2!$C$41:$K$41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Sheet2!$C$42:$K$42</c:f>
              <c:numCache>
                <c:formatCode>0.00%</c:formatCode>
                <c:ptCount val="9"/>
                <c:pt idx="0">
                  <c:v>0.00929960135605245</c:v>
                </c:pt>
                <c:pt idx="1">
                  <c:v>0.0112066682196181</c:v>
                </c:pt>
                <c:pt idx="2">
                  <c:v>0.0116729435187957</c:v>
                </c:pt>
                <c:pt idx="3">
                  <c:v>0.0129533459473928</c:v>
                </c:pt>
                <c:pt idx="4">
                  <c:v>0.0125790251874936</c:v>
                </c:pt>
                <c:pt idx="5">
                  <c:v>0.0116143244056338</c:v>
                </c:pt>
                <c:pt idx="6">
                  <c:v>0.0106615057505802</c:v>
                </c:pt>
                <c:pt idx="7">
                  <c:v>0.00971530713129135</c:v>
                </c:pt>
                <c:pt idx="8">
                  <c:v>0.00854905740047022</c:v>
                </c:pt>
              </c:numCache>
            </c:numRef>
          </c:val>
        </c:ser>
        <c:ser>
          <c:idx val="1"/>
          <c:order val="1"/>
          <c:tx>
            <c:strRef>
              <c:f>Sheet2!$B$43</c:f>
              <c:strCache>
                <c:ptCount val="1"/>
                <c:pt idx="0">
                  <c:v>HPV 2013, Pneumo 2014</c:v>
                </c:pt>
              </c:strCache>
            </c:strRef>
          </c:tx>
          <c:marker>
            <c:symbol val="none"/>
          </c:marker>
          <c:cat>
            <c:numRef>
              <c:f>Sheet2!$C$41:$K$41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Sheet2!$C$43:$K$43</c:f>
              <c:numCache>
                <c:formatCode>0.00%</c:formatCode>
                <c:ptCount val="9"/>
                <c:pt idx="0">
                  <c:v>0.00929960135605245</c:v>
                </c:pt>
                <c:pt idx="1">
                  <c:v>0.0124997421919734</c:v>
                </c:pt>
                <c:pt idx="2">
                  <c:v>0.013590199226461</c:v>
                </c:pt>
                <c:pt idx="3">
                  <c:v>0.0153293338000683</c:v>
                </c:pt>
                <c:pt idx="4">
                  <c:v>0.0146432853634985</c:v>
                </c:pt>
                <c:pt idx="5">
                  <c:v>0.0136322797271335</c:v>
                </c:pt>
                <c:pt idx="6">
                  <c:v>0.0126455983097293</c:v>
                </c:pt>
                <c:pt idx="7">
                  <c:v>0.0116476265577314</c:v>
                </c:pt>
                <c:pt idx="8">
                  <c:v>0.0103940247878054</c:v>
                </c:pt>
              </c:numCache>
            </c:numRef>
          </c:val>
        </c:ser>
        <c:ser>
          <c:idx val="2"/>
          <c:order val="2"/>
          <c:tx>
            <c:strRef>
              <c:f>Sheet2!$B$44</c:f>
              <c:strCache>
                <c:ptCount val="1"/>
                <c:pt idx="0">
                  <c:v>Pneumo 2014, Rota 2019</c:v>
                </c:pt>
              </c:strCache>
            </c:strRef>
          </c:tx>
          <c:marker>
            <c:symbol val="none"/>
          </c:marker>
          <c:cat>
            <c:numRef>
              <c:f>Sheet2!$C$41:$K$41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Sheet2!$C$44:$K$44</c:f>
              <c:numCache>
                <c:formatCode>0.00%</c:formatCode>
                <c:ptCount val="9"/>
                <c:pt idx="0">
                  <c:v>0.00929960135605245</c:v>
                </c:pt>
                <c:pt idx="1">
                  <c:v>0.0112066682196181</c:v>
                </c:pt>
                <c:pt idx="2">
                  <c:v>0.0116729435187957</c:v>
                </c:pt>
                <c:pt idx="3">
                  <c:v>0.0129533459473928</c:v>
                </c:pt>
                <c:pt idx="4">
                  <c:v>0.0125790251874936</c:v>
                </c:pt>
                <c:pt idx="5">
                  <c:v>0.0116143244056338</c:v>
                </c:pt>
                <c:pt idx="6">
                  <c:v>0.0106615057505802</c:v>
                </c:pt>
                <c:pt idx="7">
                  <c:v>0.0102420091281591</c:v>
                </c:pt>
                <c:pt idx="8">
                  <c:v>0.00916989798411922</c:v>
                </c:pt>
              </c:numCache>
            </c:numRef>
          </c:val>
        </c:ser>
        <c:marker val="1"/>
        <c:axId val="266445144"/>
        <c:axId val="266448200"/>
      </c:lineChart>
      <c:catAx>
        <c:axId val="266445144"/>
        <c:scaling>
          <c:orientation val="minMax"/>
        </c:scaling>
        <c:axPos val="b"/>
        <c:numFmt formatCode="General" sourceLinked="1"/>
        <c:tickLblPos val="nextTo"/>
        <c:crossAx val="266448200"/>
        <c:crosses val="autoZero"/>
        <c:auto val="1"/>
        <c:lblAlgn val="ctr"/>
        <c:lblOffset val="100"/>
      </c:catAx>
      <c:valAx>
        <c:axId val="266448200"/>
        <c:scaling>
          <c:orientation val="minMax"/>
        </c:scaling>
        <c:axPos val="l"/>
        <c:majorGridlines/>
        <c:numFmt formatCode="0.00%" sourceLinked="1"/>
        <c:tickLblPos val="nextTo"/>
        <c:crossAx val="26644514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739D3-ACE3-432C-99A4-54635F53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2272</Words>
  <Characters>12953</Characters>
  <Application>Microsoft Word 12.1.0</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Ryckman</dc:creator>
  <cp:lastModifiedBy>Tess Ryckman</cp:lastModifiedBy>
  <cp:revision>3</cp:revision>
  <cp:lastPrinted>2012-10-17T13:32:00Z</cp:lastPrinted>
  <dcterms:created xsi:type="dcterms:W3CDTF">2013-10-13T22:43:00Z</dcterms:created>
  <dcterms:modified xsi:type="dcterms:W3CDTF">2013-10-13T22:45:00Z</dcterms:modified>
</cp:coreProperties>
</file>